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A8DAE" w14:textId="20DCA6AE" w:rsidR="00397C7E" w:rsidRPr="00397C7E" w:rsidRDefault="00397C7E" w:rsidP="005A14CA">
      <w:pPr>
        <w:spacing w:before="240" w:after="240" w:line="360" w:lineRule="auto"/>
        <w:jc w:val="center"/>
        <w:rPr>
          <w:b/>
          <w:lang w:eastAsia="en-GB"/>
        </w:rPr>
      </w:pPr>
      <w:r w:rsidRPr="00397C7E">
        <w:rPr>
          <w:b/>
          <w:lang w:eastAsia="en-GB"/>
        </w:rPr>
        <w:t>WORKING DRAFT – NOT PEER-REVIEWED</w:t>
      </w:r>
    </w:p>
    <w:p w14:paraId="60A3AC42" w14:textId="77777777" w:rsidR="00397C7E" w:rsidRDefault="00397C7E" w:rsidP="005A14CA">
      <w:pPr>
        <w:spacing w:before="240" w:after="240" w:line="360" w:lineRule="auto"/>
        <w:jc w:val="center"/>
        <w:rPr>
          <w:bCs/>
          <w:lang w:eastAsia="en-GB"/>
        </w:rPr>
      </w:pPr>
    </w:p>
    <w:p w14:paraId="60D0D76B" w14:textId="248A1711" w:rsidR="005A14CA" w:rsidRPr="00DE3274" w:rsidRDefault="005A14CA" w:rsidP="005A14CA">
      <w:pPr>
        <w:spacing w:before="240" w:after="240" w:line="360" w:lineRule="auto"/>
        <w:jc w:val="center"/>
        <w:rPr>
          <w:bCs/>
          <w:lang w:eastAsia="en-GB"/>
        </w:rPr>
      </w:pPr>
      <w:r w:rsidRPr="00DE3274">
        <w:rPr>
          <w:bCs/>
          <w:lang w:eastAsia="en-GB"/>
        </w:rPr>
        <w:t>COVID-19</w:t>
      </w:r>
      <w:r>
        <w:rPr>
          <w:bCs/>
          <w:lang w:eastAsia="en-GB"/>
        </w:rPr>
        <w:t>-</w:t>
      </w:r>
      <w:r w:rsidRPr="00DE3274">
        <w:rPr>
          <w:bCs/>
          <w:lang w:eastAsia="en-GB"/>
        </w:rPr>
        <w:t>Related Anxiety Predicts Somatic Symptoms in the UK Population.</w:t>
      </w:r>
    </w:p>
    <w:p w14:paraId="46E51730" w14:textId="77777777" w:rsidR="005A14CA" w:rsidRPr="00DE3274" w:rsidRDefault="005A14CA" w:rsidP="005A14CA">
      <w:pPr>
        <w:spacing w:line="480" w:lineRule="auto"/>
        <w:jc w:val="center"/>
        <w:rPr>
          <w:bCs/>
          <w:color w:val="000000" w:themeColor="text1"/>
        </w:rPr>
      </w:pPr>
    </w:p>
    <w:p w14:paraId="5DB754D1" w14:textId="77777777" w:rsidR="005A14CA" w:rsidRPr="00DE3274" w:rsidRDefault="005A14CA" w:rsidP="005A14CA">
      <w:pPr>
        <w:spacing w:line="480" w:lineRule="auto"/>
        <w:jc w:val="center"/>
        <w:rPr>
          <w:bCs/>
          <w:color w:val="000000" w:themeColor="text1"/>
        </w:rPr>
      </w:pPr>
      <w:r w:rsidRPr="00DE3274">
        <w:rPr>
          <w:bCs/>
          <w:color w:val="000000" w:themeColor="text1"/>
        </w:rPr>
        <w:t>Running Head</w:t>
      </w:r>
    </w:p>
    <w:p w14:paraId="5D3DC199" w14:textId="77777777" w:rsidR="005A14CA" w:rsidRPr="00DE3274" w:rsidRDefault="005A14CA" w:rsidP="005A14CA">
      <w:pPr>
        <w:spacing w:line="480" w:lineRule="auto"/>
        <w:jc w:val="center"/>
        <w:rPr>
          <w:bCs/>
          <w:color w:val="000000" w:themeColor="text1"/>
        </w:rPr>
      </w:pPr>
    </w:p>
    <w:p w14:paraId="2538E519" w14:textId="77777777" w:rsidR="005A14CA" w:rsidRPr="00DE3274" w:rsidRDefault="005A14CA" w:rsidP="005A14CA">
      <w:pPr>
        <w:spacing w:line="480" w:lineRule="auto"/>
        <w:jc w:val="center"/>
        <w:rPr>
          <w:bCs/>
          <w:lang w:eastAsia="en-GB"/>
        </w:rPr>
      </w:pPr>
      <w:r w:rsidRPr="00DE3274">
        <w:rPr>
          <w:bCs/>
          <w:lang w:eastAsia="en-GB"/>
        </w:rPr>
        <w:t>COVID-19</w:t>
      </w:r>
      <w:r>
        <w:rPr>
          <w:bCs/>
          <w:lang w:eastAsia="en-GB"/>
        </w:rPr>
        <w:t>-</w:t>
      </w:r>
      <w:r w:rsidRPr="00DE3274">
        <w:rPr>
          <w:bCs/>
          <w:lang w:eastAsia="en-GB"/>
        </w:rPr>
        <w:t xml:space="preserve">RELATED ANXIETY AND SOMATIC SYMPTOMS </w:t>
      </w:r>
    </w:p>
    <w:p w14:paraId="12B9B3BF" w14:textId="77777777" w:rsidR="005A14CA" w:rsidRPr="00DE3274" w:rsidRDefault="005A14CA" w:rsidP="005A14CA">
      <w:pPr>
        <w:spacing w:line="480" w:lineRule="auto"/>
        <w:jc w:val="center"/>
        <w:rPr>
          <w:color w:val="000000"/>
          <w:shd w:val="clear" w:color="auto" w:fill="FFFFFF"/>
        </w:rPr>
      </w:pPr>
      <w:r w:rsidRPr="00DE3274">
        <w:rPr>
          <w:color w:val="000000"/>
          <w:shd w:val="clear" w:color="auto" w:fill="FFFFFF"/>
        </w:rPr>
        <w:t>Mark Shevlin</w:t>
      </w:r>
      <w:r w:rsidRPr="00DE3274">
        <w:rPr>
          <w:color w:val="000000"/>
          <w:shd w:val="clear" w:color="auto" w:fill="FFFFFF"/>
          <w:vertAlign w:val="superscript"/>
        </w:rPr>
        <w:t>1</w:t>
      </w:r>
      <w:r w:rsidRPr="00DE3274">
        <w:rPr>
          <w:color w:val="000000"/>
          <w:shd w:val="clear" w:color="auto" w:fill="FFFFFF"/>
        </w:rPr>
        <w:t>, Emma Nolan</w:t>
      </w:r>
      <w:r w:rsidRPr="00DE3274">
        <w:rPr>
          <w:color w:val="000000"/>
          <w:shd w:val="clear" w:color="auto" w:fill="FFFFFF"/>
          <w:vertAlign w:val="superscript"/>
        </w:rPr>
        <w:t>1</w:t>
      </w:r>
      <w:r w:rsidRPr="00DE3274">
        <w:rPr>
          <w:color w:val="000000"/>
          <w:shd w:val="clear" w:color="auto" w:fill="FFFFFF"/>
        </w:rPr>
        <w:t xml:space="preserve">, Marcin </w:t>
      </w:r>
      <w:r w:rsidRPr="00DE3274">
        <w:rPr>
          <w:color w:val="323130"/>
          <w:shd w:val="clear" w:color="auto" w:fill="FFFFFF"/>
        </w:rPr>
        <w:t>Owczarek</w:t>
      </w:r>
      <w:r w:rsidRPr="00DE3274">
        <w:rPr>
          <w:color w:val="000000"/>
          <w:shd w:val="clear" w:color="auto" w:fill="FFFFFF"/>
          <w:vertAlign w:val="superscript"/>
        </w:rPr>
        <w:t>1</w:t>
      </w:r>
      <w:r w:rsidRPr="00DE3274">
        <w:rPr>
          <w:color w:val="323130"/>
          <w:shd w:val="clear" w:color="auto" w:fill="FFFFFF"/>
        </w:rPr>
        <w:t xml:space="preserve">, </w:t>
      </w:r>
      <w:r w:rsidRPr="00DE3274">
        <w:rPr>
          <w:color w:val="000000"/>
          <w:shd w:val="clear" w:color="auto" w:fill="FFFFFF"/>
        </w:rPr>
        <w:t>Orla McBride</w:t>
      </w:r>
      <w:r w:rsidRPr="00DE3274">
        <w:rPr>
          <w:color w:val="000000"/>
          <w:shd w:val="clear" w:color="auto" w:fill="FFFFFF"/>
          <w:vertAlign w:val="superscript"/>
        </w:rPr>
        <w:t>1</w:t>
      </w:r>
      <w:r w:rsidRPr="00DE3274">
        <w:rPr>
          <w:color w:val="000000"/>
          <w:shd w:val="clear" w:color="auto" w:fill="FFFFFF"/>
        </w:rPr>
        <w:t>, Jamie Murphy</w:t>
      </w:r>
      <w:r w:rsidRPr="00DE3274">
        <w:rPr>
          <w:color w:val="000000"/>
          <w:shd w:val="clear" w:color="auto" w:fill="FFFFFF"/>
          <w:vertAlign w:val="superscript"/>
        </w:rPr>
        <w:t>1</w:t>
      </w:r>
      <w:r w:rsidRPr="00DE3274">
        <w:rPr>
          <w:color w:val="000000"/>
          <w:shd w:val="clear" w:color="auto" w:fill="FFFFFF"/>
        </w:rPr>
        <w:t>, Jilly Gibson Miller</w:t>
      </w:r>
      <w:bookmarkStart w:id="0" w:name="_Hlk37343012"/>
      <w:r w:rsidRPr="00DE3274">
        <w:rPr>
          <w:color w:val="000000"/>
          <w:shd w:val="clear" w:color="auto" w:fill="FFFFFF"/>
          <w:vertAlign w:val="superscript"/>
        </w:rPr>
        <w:t>2</w:t>
      </w:r>
      <w:bookmarkEnd w:id="0"/>
      <w:r w:rsidRPr="00DE3274">
        <w:rPr>
          <w:color w:val="000000"/>
          <w:shd w:val="clear" w:color="auto" w:fill="FFFFFF"/>
        </w:rPr>
        <w:t>, Todd K. Hartman</w:t>
      </w:r>
      <w:r w:rsidRPr="00DE3274">
        <w:rPr>
          <w:color w:val="000000"/>
          <w:shd w:val="clear" w:color="auto" w:fill="FFFFFF"/>
          <w:vertAlign w:val="superscript"/>
        </w:rPr>
        <w:t>2</w:t>
      </w:r>
      <w:r w:rsidRPr="00DE3274">
        <w:rPr>
          <w:color w:val="000000"/>
          <w:shd w:val="clear" w:color="auto" w:fill="FFFFFF"/>
        </w:rPr>
        <w:t xml:space="preserve">, </w:t>
      </w:r>
      <w:proofErr w:type="spellStart"/>
      <w:r w:rsidRPr="00DE3274">
        <w:rPr>
          <w:color w:val="000000"/>
          <w:shd w:val="clear" w:color="auto" w:fill="FFFFFF"/>
        </w:rPr>
        <w:t>Liat</w:t>
      </w:r>
      <w:proofErr w:type="spellEnd"/>
      <w:r w:rsidRPr="00DE3274">
        <w:rPr>
          <w:color w:val="000000"/>
          <w:shd w:val="clear" w:color="auto" w:fill="FFFFFF"/>
        </w:rPr>
        <w:t xml:space="preserve"> Levita</w:t>
      </w:r>
      <w:r w:rsidRPr="00DE3274">
        <w:rPr>
          <w:color w:val="000000"/>
          <w:shd w:val="clear" w:color="auto" w:fill="FFFFFF"/>
          <w:vertAlign w:val="superscript"/>
        </w:rPr>
        <w:t>2</w:t>
      </w:r>
      <w:r w:rsidRPr="00DE3274">
        <w:rPr>
          <w:color w:val="000000"/>
          <w:shd w:val="clear" w:color="auto" w:fill="FFFFFF"/>
        </w:rPr>
        <w:t>, Liam Mason</w:t>
      </w:r>
      <w:r w:rsidRPr="00DE3274">
        <w:rPr>
          <w:color w:val="000000"/>
          <w:shd w:val="clear" w:color="auto" w:fill="FFFFFF"/>
          <w:vertAlign w:val="superscript"/>
        </w:rPr>
        <w:t>3</w:t>
      </w:r>
      <w:r w:rsidRPr="00DE3274">
        <w:rPr>
          <w:color w:val="000000"/>
          <w:shd w:val="clear" w:color="auto" w:fill="FFFFFF"/>
        </w:rPr>
        <w:t>, Anton P. Martinez</w:t>
      </w:r>
      <w:r w:rsidRPr="00DE3274">
        <w:rPr>
          <w:color w:val="000000"/>
          <w:shd w:val="clear" w:color="auto" w:fill="FFFFFF"/>
          <w:vertAlign w:val="superscript"/>
        </w:rPr>
        <w:t>2</w:t>
      </w:r>
      <w:r w:rsidRPr="00DE3274">
        <w:rPr>
          <w:color w:val="000000"/>
          <w:shd w:val="clear" w:color="auto" w:fill="FFFFFF"/>
        </w:rPr>
        <w:t>, Ryan McKay</w:t>
      </w:r>
      <w:r w:rsidRPr="00DE3274">
        <w:rPr>
          <w:color w:val="000000"/>
          <w:shd w:val="clear" w:color="auto" w:fill="FFFFFF"/>
          <w:vertAlign w:val="superscript"/>
        </w:rPr>
        <w:t>4</w:t>
      </w:r>
      <w:r w:rsidRPr="00DE3274">
        <w:rPr>
          <w:color w:val="000000"/>
          <w:shd w:val="clear" w:color="auto" w:fill="FFFFFF"/>
        </w:rPr>
        <w:t>, Thomas VA Stocks</w:t>
      </w:r>
      <w:r w:rsidRPr="00DE3274">
        <w:rPr>
          <w:color w:val="000000"/>
          <w:shd w:val="clear" w:color="auto" w:fill="FFFFFF"/>
          <w:vertAlign w:val="superscript"/>
        </w:rPr>
        <w:t>2</w:t>
      </w:r>
      <w:r w:rsidRPr="00DE3274">
        <w:rPr>
          <w:color w:val="000000"/>
          <w:shd w:val="clear" w:color="auto" w:fill="FFFFFF"/>
        </w:rPr>
        <w:t>, Kate M Bennett</w:t>
      </w:r>
      <w:r w:rsidRPr="00DE3274">
        <w:rPr>
          <w:color w:val="000000"/>
          <w:shd w:val="clear" w:color="auto" w:fill="FFFFFF"/>
          <w:vertAlign w:val="superscript"/>
        </w:rPr>
        <w:t>5</w:t>
      </w:r>
      <w:r w:rsidRPr="00DE3274">
        <w:rPr>
          <w:color w:val="000000"/>
          <w:shd w:val="clear" w:color="auto" w:fill="FFFFFF"/>
        </w:rPr>
        <w:t>, Philip Hyland</w:t>
      </w:r>
      <w:r w:rsidRPr="00DE3274">
        <w:rPr>
          <w:color w:val="000000"/>
          <w:shd w:val="clear" w:color="auto" w:fill="FFFFFF"/>
          <w:vertAlign w:val="superscript"/>
        </w:rPr>
        <w:t>6</w:t>
      </w:r>
      <w:r w:rsidRPr="00DE3274">
        <w:rPr>
          <w:color w:val="000000"/>
          <w:shd w:val="clear" w:color="auto" w:fill="FFFFFF"/>
        </w:rPr>
        <w:t>, &amp; Richard P. Bentall</w:t>
      </w:r>
      <w:r w:rsidRPr="00DE3274">
        <w:rPr>
          <w:shd w:val="clear" w:color="auto" w:fill="FFFFFF"/>
          <w:vertAlign w:val="superscript"/>
        </w:rPr>
        <w:t>2,5</w:t>
      </w:r>
    </w:p>
    <w:p w14:paraId="79315AAF" w14:textId="77777777" w:rsidR="005A14CA" w:rsidRPr="00DE3274" w:rsidRDefault="005A14CA" w:rsidP="005A14CA">
      <w:pPr>
        <w:spacing w:line="480" w:lineRule="auto"/>
        <w:jc w:val="center"/>
        <w:rPr>
          <w:color w:val="000000"/>
          <w:shd w:val="clear" w:color="auto" w:fill="FFFFFF"/>
        </w:rPr>
      </w:pPr>
    </w:p>
    <w:p w14:paraId="7570E388" w14:textId="77777777" w:rsidR="005A14CA" w:rsidRPr="00DE3274" w:rsidRDefault="005A14CA" w:rsidP="005A14CA">
      <w:pPr>
        <w:spacing w:line="480" w:lineRule="auto"/>
        <w:jc w:val="center"/>
        <w:rPr>
          <w:color w:val="000000"/>
          <w:shd w:val="clear" w:color="auto" w:fill="FFFFFF"/>
        </w:rPr>
      </w:pPr>
      <w:r w:rsidRPr="00DE3274">
        <w:rPr>
          <w:color w:val="000000"/>
          <w:shd w:val="clear" w:color="auto" w:fill="FFFFFF"/>
          <w:vertAlign w:val="superscript"/>
        </w:rPr>
        <w:t xml:space="preserve">1 </w:t>
      </w:r>
      <w:r w:rsidRPr="00DE3274">
        <w:rPr>
          <w:color w:val="000000"/>
          <w:shd w:val="clear" w:color="auto" w:fill="FFFFFF"/>
        </w:rPr>
        <w:t>Ulster University, Northern Ireland</w:t>
      </w:r>
    </w:p>
    <w:p w14:paraId="06D5D145" w14:textId="77777777" w:rsidR="005A14CA" w:rsidRPr="00DE3274" w:rsidRDefault="005A14CA" w:rsidP="005A14CA">
      <w:pPr>
        <w:spacing w:line="480" w:lineRule="auto"/>
        <w:jc w:val="center"/>
        <w:rPr>
          <w:color w:val="000000"/>
          <w:shd w:val="clear" w:color="auto" w:fill="FFFFFF"/>
        </w:rPr>
      </w:pPr>
      <w:r w:rsidRPr="00DE3274">
        <w:rPr>
          <w:color w:val="000000"/>
          <w:shd w:val="clear" w:color="auto" w:fill="FFFFFF"/>
          <w:vertAlign w:val="superscript"/>
        </w:rPr>
        <w:t xml:space="preserve">2 </w:t>
      </w:r>
      <w:r w:rsidRPr="00DE3274">
        <w:rPr>
          <w:color w:val="000000"/>
          <w:shd w:val="clear" w:color="auto" w:fill="FFFFFF"/>
        </w:rPr>
        <w:t>University of Sheffield, England</w:t>
      </w:r>
    </w:p>
    <w:p w14:paraId="53C9F717" w14:textId="77777777" w:rsidR="005A14CA" w:rsidRPr="00DE3274" w:rsidRDefault="005A14CA" w:rsidP="005A14CA">
      <w:pPr>
        <w:spacing w:line="480" w:lineRule="auto"/>
        <w:jc w:val="center"/>
        <w:rPr>
          <w:color w:val="000000"/>
          <w:shd w:val="clear" w:color="auto" w:fill="FFFFFF"/>
        </w:rPr>
      </w:pPr>
      <w:r w:rsidRPr="00DE3274">
        <w:rPr>
          <w:color w:val="000000"/>
          <w:shd w:val="clear" w:color="auto" w:fill="FFFFFF"/>
          <w:vertAlign w:val="superscript"/>
        </w:rPr>
        <w:t>3</w:t>
      </w:r>
      <w:r w:rsidRPr="00DE3274">
        <w:rPr>
          <w:color w:val="000000"/>
          <w:shd w:val="clear" w:color="auto" w:fill="FFFFFF"/>
        </w:rPr>
        <w:t xml:space="preserve">University College London, England </w:t>
      </w:r>
    </w:p>
    <w:p w14:paraId="061921F3" w14:textId="77777777" w:rsidR="005A14CA" w:rsidRPr="00DE3274" w:rsidRDefault="005A14CA" w:rsidP="005A14CA">
      <w:pPr>
        <w:spacing w:line="480" w:lineRule="auto"/>
        <w:jc w:val="center"/>
        <w:rPr>
          <w:color w:val="000000"/>
          <w:shd w:val="clear" w:color="auto" w:fill="FFFFFF"/>
        </w:rPr>
      </w:pPr>
      <w:r w:rsidRPr="00DE3274">
        <w:rPr>
          <w:color w:val="000000"/>
          <w:shd w:val="clear" w:color="auto" w:fill="FFFFFF"/>
          <w:vertAlign w:val="superscript"/>
        </w:rPr>
        <w:t xml:space="preserve">4 </w:t>
      </w:r>
      <w:r w:rsidRPr="00DE3274">
        <w:rPr>
          <w:color w:val="000000"/>
          <w:shd w:val="clear" w:color="auto" w:fill="FFFFFF"/>
        </w:rPr>
        <w:t>Royal Holloway, University of London, England</w:t>
      </w:r>
    </w:p>
    <w:p w14:paraId="0D380CAC" w14:textId="77777777" w:rsidR="005A14CA" w:rsidRPr="00DE3274" w:rsidRDefault="005A14CA" w:rsidP="005A14CA">
      <w:pPr>
        <w:spacing w:line="480" w:lineRule="auto"/>
        <w:jc w:val="center"/>
        <w:rPr>
          <w:color w:val="000000"/>
          <w:shd w:val="clear" w:color="auto" w:fill="FFFFFF"/>
        </w:rPr>
      </w:pPr>
      <w:r w:rsidRPr="00DE3274">
        <w:rPr>
          <w:color w:val="000000"/>
          <w:shd w:val="clear" w:color="auto" w:fill="FFFFFF"/>
          <w:vertAlign w:val="superscript"/>
        </w:rPr>
        <w:t>5</w:t>
      </w:r>
      <w:r w:rsidRPr="00DE3274">
        <w:rPr>
          <w:color w:val="000000"/>
          <w:shd w:val="clear" w:color="auto" w:fill="FFFFFF"/>
        </w:rPr>
        <w:t xml:space="preserve"> Liverpool University</w:t>
      </w:r>
    </w:p>
    <w:p w14:paraId="3A4AC819" w14:textId="77777777" w:rsidR="005A14CA" w:rsidRDefault="005A14CA" w:rsidP="005A14CA">
      <w:pPr>
        <w:spacing w:line="480" w:lineRule="auto"/>
        <w:jc w:val="center"/>
        <w:rPr>
          <w:color w:val="000000"/>
          <w:shd w:val="clear" w:color="auto" w:fill="FFFFFF"/>
        </w:rPr>
      </w:pPr>
      <w:r w:rsidRPr="00DE3274">
        <w:rPr>
          <w:color w:val="000000"/>
          <w:shd w:val="clear" w:color="auto" w:fill="FFFFFF"/>
          <w:vertAlign w:val="superscript"/>
        </w:rPr>
        <w:t>6</w:t>
      </w:r>
      <w:r w:rsidRPr="00DE3274">
        <w:rPr>
          <w:color w:val="000000"/>
          <w:shd w:val="clear" w:color="auto" w:fill="FFFFFF"/>
        </w:rPr>
        <w:t>Maynooth University</w:t>
      </w:r>
    </w:p>
    <w:p w14:paraId="61EB47F6" w14:textId="77777777" w:rsidR="005A14CA" w:rsidRDefault="005A14CA" w:rsidP="005A14CA">
      <w:pPr>
        <w:pStyle w:val="NormalWeb"/>
        <w:rPr>
          <w:color w:val="000000"/>
          <w:shd w:val="clear" w:color="auto" w:fill="FFFFFF"/>
        </w:rPr>
      </w:pPr>
    </w:p>
    <w:p w14:paraId="1A34A341" w14:textId="77777777" w:rsidR="005A14CA" w:rsidRDefault="005A14CA" w:rsidP="005A14CA">
      <w:pPr>
        <w:rPr>
          <w:color w:val="000000"/>
          <w:shd w:val="clear" w:color="auto" w:fill="FFFFFF"/>
        </w:rPr>
      </w:pPr>
    </w:p>
    <w:p w14:paraId="7067A3E4" w14:textId="77777777" w:rsidR="005A14CA" w:rsidRDefault="005A14CA" w:rsidP="005A14CA">
      <w:pPr>
        <w:rPr>
          <w:color w:val="000000"/>
          <w:shd w:val="clear" w:color="auto" w:fill="FFFFFF"/>
        </w:rPr>
      </w:pPr>
    </w:p>
    <w:p w14:paraId="53075345" w14:textId="77777777" w:rsidR="005A14CA" w:rsidRDefault="005A14CA" w:rsidP="005A14CA">
      <w:pPr>
        <w:rPr>
          <w:color w:val="000000"/>
          <w:shd w:val="clear" w:color="auto" w:fill="FFFFFF"/>
        </w:rPr>
      </w:pPr>
    </w:p>
    <w:p w14:paraId="39538198" w14:textId="77777777" w:rsidR="005A14CA" w:rsidRDefault="005A14CA" w:rsidP="005A14CA">
      <w:pPr>
        <w:rPr>
          <w:color w:val="000000"/>
          <w:shd w:val="clear" w:color="auto" w:fill="FFFFFF"/>
        </w:rPr>
      </w:pPr>
    </w:p>
    <w:p w14:paraId="539F73F1" w14:textId="77777777" w:rsidR="005A14CA" w:rsidRDefault="005A14CA" w:rsidP="005A14CA">
      <w:pPr>
        <w:spacing w:after="160" w:line="259" w:lineRule="auto"/>
        <w:rPr>
          <w:color w:val="000000"/>
          <w:shd w:val="clear" w:color="auto" w:fill="FFFFFF"/>
        </w:rPr>
      </w:pPr>
      <w:r>
        <w:rPr>
          <w:color w:val="000000"/>
          <w:shd w:val="clear" w:color="auto" w:fill="FFFFFF"/>
        </w:rPr>
        <w:br w:type="page"/>
      </w:r>
    </w:p>
    <w:p w14:paraId="272FC895" w14:textId="77777777" w:rsidR="005A14CA" w:rsidRDefault="005A14CA" w:rsidP="005A14CA">
      <w:pPr>
        <w:spacing w:line="480" w:lineRule="auto"/>
        <w:jc w:val="center"/>
        <w:rPr>
          <w:color w:val="000000"/>
          <w:shd w:val="clear" w:color="auto" w:fill="FFFFFF"/>
        </w:rPr>
      </w:pPr>
      <w:r>
        <w:rPr>
          <w:color w:val="000000"/>
          <w:shd w:val="clear" w:color="auto" w:fill="FFFFFF"/>
        </w:rPr>
        <w:lastRenderedPageBreak/>
        <w:t>Abstract</w:t>
      </w:r>
    </w:p>
    <w:p w14:paraId="6F2EC269" w14:textId="77777777" w:rsidR="005A14CA" w:rsidRPr="00DE3274" w:rsidRDefault="005A14CA" w:rsidP="005A14CA">
      <w:pPr>
        <w:spacing w:line="360" w:lineRule="auto"/>
      </w:pPr>
      <w:r>
        <w:rPr>
          <w:color w:val="000000"/>
          <w:shd w:val="clear" w:color="auto" w:fill="FFFFFF"/>
        </w:rPr>
        <w:t>This study aimed to estimate the association between anxiety associated with COVID-19 and somatic symptoms, using data from a large, representative sample (N=2025) of the UK adult population. Results showed that</w:t>
      </w:r>
      <w:r w:rsidRPr="00010636">
        <w:rPr>
          <w:color w:val="000000"/>
          <w:shd w:val="clear" w:color="auto" w:fill="FFFFFF"/>
        </w:rPr>
        <w:t xml:space="preserve"> </w:t>
      </w:r>
      <w:r>
        <w:rPr>
          <w:color w:val="000000"/>
          <w:shd w:val="clear" w:color="auto" w:fill="FFFFFF"/>
        </w:rPr>
        <w:t xml:space="preserve">moderate to high levels of anxiety associated with COVID-19 were significantly associated with general somatic symptoms, and in particular with </w:t>
      </w:r>
      <w:r w:rsidRPr="00DE3274">
        <w:t xml:space="preserve">gastrointestinal </w:t>
      </w:r>
      <w:r>
        <w:t>and fatigue symptoms</w:t>
      </w:r>
      <w:r w:rsidRPr="00DE3274">
        <w:t>.</w:t>
      </w:r>
      <w:r>
        <w:t xml:space="preserve"> This pattern of associations remained significant after controlling for generalised anxiety disorder, pre-existing health problems, age, gender and income. This is the first evidence that </w:t>
      </w:r>
      <w:r>
        <w:rPr>
          <w:color w:val="000000"/>
          <w:shd w:val="clear" w:color="auto" w:fill="FFFFFF"/>
        </w:rPr>
        <w:t xml:space="preserve">anxiety associated with COVID-19 makes a unique contribution to somatisation, above and beyond the effect of </w:t>
      </w:r>
      <w:r>
        <w:t>generalised anxiety disorder.</w:t>
      </w:r>
      <w:r>
        <w:rPr>
          <w:color w:val="000000"/>
          <w:shd w:val="clear" w:color="auto" w:fill="FFFFFF"/>
        </w:rPr>
        <w:t xml:space="preserve"> </w:t>
      </w:r>
    </w:p>
    <w:p w14:paraId="6FE51E84" w14:textId="77777777" w:rsidR="005A14CA" w:rsidRPr="00DE3274" w:rsidRDefault="005A14CA" w:rsidP="005A14CA">
      <w:pPr>
        <w:spacing w:line="480" w:lineRule="auto"/>
        <w:rPr>
          <w:color w:val="000000"/>
          <w:shd w:val="clear" w:color="auto" w:fill="FFFFFF"/>
        </w:rPr>
      </w:pPr>
    </w:p>
    <w:p w14:paraId="43D0AF34" w14:textId="77777777" w:rsidR="005A14CA" w:rsidRPr="002205DA" w:rsidRDefault="005A14CA" w:rsidP="005A14CA">
      <w:pPr>
        <w:spacing w:line="360" w:lineRule="auto"/>
        <w:rPr>
          <w:bCs/>
          <w:lang w:eastAsia="en-GB"/>
        </w:rPr>
      </w:pPr>
      <w:r w:rsidRPr="002205DA">
        <w:rPr>
          <w:bCs/>
          <w:lang w:eastAsia="en-GB"/>
        </w:rPr>
        <w:t xml:space="preserve">Keywords: </w:t>
      </w:r>
      <w:r>
        <w:rPr>
          <w:color w:val="000000"/>
          <w:shd w:val="clear" w:color="auto" w:fill="FFFFFF"/>
        </w:rPr>
        <w:t>COVID-19 pandemic, somatic symptoms, COVID-19 related anxiety</w:t>
      </w:r>
    </w:p>
    <w:p w14:paraId="37DE4478" w14:textId="77777777" w:rsidR="005A14CA" w:rsidRPr="00DE3274" w:rsidRDefault="005A14CA" w:rsidP="005A14CA">
      <w:pPr>
        <w:spacing w:line="360" w:lineRule="auto"/>
        <w:rPr>
          <w:b/>
          <w:bCs/>
          <w:lang w:eastAsia="en-GB"/>
        </w:rPr>
      </w:pPr>
    </w:p>
    <w:p w14:paraId="64F57C9E" w14:textId="77777777" w:rsidR="005A14CA" w:rsidRPr="00354F96" w:rsidRDefault="005A14CA" w:rsidP="005A14CA">
      <w:pPr>
        <w:rPr>
          <w:bCs/>
          <w:lang w:eastAsia="en-GB"/>
        </w:rPr>
      </w:pPr>
    </w:p>
    <w:p w14:paraId="7E1E05C8" w14:textId="77777777" w:rsidR="005A14CA" w:rsidRDefault="005A14CA" w:rsidP="00EA489E">
      <w:pPr>
        <w:spacing w:before="240" w:after="240" w:line="360" w:lineRule="auto"/>
        <w:jc w:val="center"/>
        <w:rPr>
          <w:bCs/>
          <w:lang w:eastAsia="en-GB"/>
        </w:rPr>
      </w:pPr>
    </w:p>
    <w:p w14:paraId="6CDCACB8" w14:textId="77777777" w:rsidR="005A14CA" w:rsidRDefault="005A14CA">
      <w:pPr>
        <w:spacing w:after="160" w:line="259" w:lineRule="auto"/>
        <w:rPr>
          <w:bCs/>
          <w:lang w:eastAsia="en-GB"/>
        </w:rPr>
      </w:pPr>
      <w:r>
        <w:rPr>
          <w:bCs/>
          <w:lang w:eastAsia="en-GB"/>
        </w:rPr>
        <w:br w:type="page"/>
      </w:r>
    </w:p>
    <w:p w14:paraId="606F4984" w14:textId="38BAAF1D" w:rsidR="00373FB4" w:rsidRPr="00DE3274" w:rsidRDefault="00373FB4" w:rsidP="00EA489E">
      <w:pPr>
        <w:spacing w:before="240" w:after="240" w:line="360" w:lineRule="auto"/>
        <w:jc w:val="center"/>
        <w:rPr>
          <w:bCs/>
          <w:lang w:eastAsia="en-GB"/>
        </w:rPr>
      </w:pPr>
      <w:r w:rsidRPr="00DE3274">
        <w:rPr>
          <w:bCs/>
          <w:lang w:eastAsia="en-GB"/>
        </w:rPr>
        <w:lastRenderedPageBreak/>
        <w:t>COVID-19</w:t>
      </w:r>
      <w:r w:rsidR="00E566CF">
        <w:rPr>
          <w:bCs/>
          <w:lang w:eastAsia="en-GB"/>
        </w:rPr>
        <w:t>-</w:t>
      </w:r>
      <w:r w:rsidRPr="00DE3274">
        <w:rPr>
          <w:bCs/>
          <w:lang w:eastAsia="en-GB"/>
        </w:rPr>
        <w:t>Related Anxiety Predicts Somatic Symptoms in the UK Population.</w:t>
      </w:r>
    </w:p>
    <w:p w14:paraId="4AA33DE7" w14:textId="7BF57571" w:rsidR="002F0EDB" w:rsidRPr="00DE3274" w:rsidRDefault="00594A35" w:rsidP="00EA489E">
      <w:pPr>
        <w:spacing w:before="240" w:after="240" w:line="360" w:lineRule="auto"/>
        <w:rPr>
          <w:lang w:eastAsia="en-GB"/>
        </w:rPr>
      </w:pPr>
      <w:r w:rsidRPr="00DE3274">
        <w:rPr>
          <w:lang w:eastAsia="en-GB"/>
        </w:rPr>
        <w:t>It has previously been demonstrated that health pandemics have psychological consequences. Studies of the psychological effects of Severe Acute Respiratory Syndrome (SARS)</w:t>
      </w:r>
      <w:r w:rsidR="00D9672D">
        <w:rPr>
          <w:lang w:eastAsia="en-GB"/>
        </w:rPr>
        <w:t>,</w:t>
      </w:r>
      <w:r w:rsidRPr="00DE3274">
        <w:rPr>
          <w:lang w:eastAsia="en-GB"/>
        </w:rPr>
        <w:t xml:space="preserve"> which emerged in 2003</w:t>
      </w:r>
      <w:r w:rsidR="00D9672D">
        <w:rPr>
          <w:lang w:eastAsia="en-GB"/>
        </w:rPr>
        <w:t>,</w:t>
      </w:r>
      <w:r w:rsidRPr="00DE3274">
        <w:rPr>
          <w:lang w:eastAsia="en-GB"/>
        </w:rPr>
        <w:t xml:space="preserve"> showed that PTSD symptoms, anxiety</w:t>
      </w:r>
      <w:r w:rsidR="00777104">
        <w:rPr>
          <w:lang w:eastAsia="en-GB"/>
        </w:rPr>
        <w:t>,</w:t>
      </w:r>
      <w:r w:rsidRPr="00DE3274">
        <w:rPr>
          <w:lang w:eastAsia="en-GB"/>
        </w:rPr>
        <w:t xml:space="preserve"> and depression</w:t>
      </w:r>
      <w:r w:rsidR="00777104">
        <w:rPr>
          <w:lang w:eastAsia="en-GB"/>
        </w:rPr>
        <w:t xml:space="preserve"> </w:t>
      </w:r>
      <w:r w:rsidRPr="00DE3274">
        <w:rPr>
          <w:lang w:eastAsia="en-GB"/>
        </w:rPr>
        <w:t>were significantly associated with time spent in quarantine (</w:t>
      </w:r>
      <w:proofErr w:type="spellStart"/>
      <w:r w:rsidRPr="00DE3274">
        <w:rPr>
          <w:lang w:eastAsia="en-GB"/>
        </w:rPr>
        <w:t>Hawryluck</w:t>
      </w:r>
      <w:proofErr w:type="spellEnd"/>
      <w:r w:rsidRPr="00DE3274">
        <w:rPr>
          <w:lang w:eastAsia="en-GB"/>
        </w:rPr>
        <w:t xml:space="preserve"> et al., 2004). </w:t>
      </w:r>
      <w:r w:rsidR="006D5295" w:rsidRPr="00DE3274">
        <w:rPr>
          <w:lang w:eastAsia="en-GB"/>
        </w:rPr>
        <w:t>T</w:t>
      </w:r>
      <w:r w:rsidRPr="00DE3274">
        <w:rPr>
          <w:lang w:eastAsia="en-GB"/>
        </w:rPr>
        <w:t>he magnitude of</w:t>
      </w:r>
      <w:r w:rsidR="006D5295" w:rsidRPr="00DE3274">
        <w:rPr>
          <w:lang w:eastAsia="en-GB"/>
        </w:rPr>
        <w:t xml:space="preserve"> the</w:t>
      </w:r>
      <w:r w:rsidRPr="00DE3274">
        <w:rPr>
          <w:lang w:eastAsia="en-GB"/>
        </w:rPr>
        <w:t xml:space="preserve"> </w:t>
      </w:r>
      <w:r w:rsidR="002D1366" w:rsidRPr="00DE3274">
        <w:rPr>
          <w:lang w:eastAsia="en-GB"/>
        </w:rPr>
        <w:t xml:space="preserve">current </w:t>
      </w:r>
      <w:r w:rsidRPr="00DE3274">
        <w:rPr>
          <w:lang w:eastAsia="en-GB"/>
        </w:rPr>
        <w:t xml:space="preserve">quarantine measures </w:t>
      </w:r>
      <w:r w:rsidR="002D1366" w:rsidRPr="00DE3274">
        <w:rPr>
          <w:lang w:eastAsia="en-GB"/>
        </w:rPr>
        <w:t xml:space="preserve">imposed by the UK </w:t>
      </w:r>
      <w:r w:rsidRPr="00DE3274">
        <w:rPr>
          <w:lang w:eastAsia="en-GB"/>
        </w:rPr>
        <w:t xml:space="preserve">government </w:t>
      </w:r>
      <w:r w:rsidR="006D5295" w:rsidRPr="00DE3274">
        <w:rPr>
          <w:lang w:eastAsia="en-GB"/>
        </w:rPr>
        <w:t xml:space="preserve">are </w:t>
      </w:r>
      <w:r w:rsidRPr="00DE3274">
        <w:rPr>
          <w:lang w:eastAsia="en-GB"/>
        </w:rPr>
        <w:t xml:space="preserve">much greater and stricter than </w:t>
      </w:r>
      <w:r w:rsidR="00390026">
        <w:rPr>
          <w:lang w:eastAsia="en-GB"/>
        </w:rPr>
        <w:t xml:space="preserve">those imposed in </w:t>
      </w:r>
      <w:r w:rsidRPr="00DE3274">
        <w:rPr>
          <w:lang w:eastAsia="en-GB"/>
        </w:rPr>
        <w:t>any previous infectious disease pandemic</w:t>
      </w:r>
      <w:r w:rsidR="00C202D0">
        <w:rPr>
          <w:lang w:eastAsia="en-GB"/>
        </w:rPr>
        <w:t>, and negative psychological consequences for the general population are expected</w:t>
      </w:r>
      <w:r w:rsidRPr="00DE3274">
        <w:rPr>
          <w:lang w:eastAsia="en-GB"/>
        </w:rPr>
        <w:t xml:space="preserve">. </w:t>
      </w:r>
      <w:r w:rsidR="00310387" w:rsidRPr="00DE3274">
        <w:rPr>
          <w:lang w:eastAsia="en-GB"/>
        </w:rPr>
        <w:t xml:space="preserve">There is recent evidence that the </w:t>
      </w:r>
      <w:r w:rsidR="00853E45" w:rsidRPr="00DE3274">
        <w:rPr>
          <w:lang w:eastAsia="en-GB"/>
        </w:rPr>
        <w:t xml:space="preserve">levels of anxiety and depression in the UK population may be elevated compared to pre-pandemic levels (Shevlin et al., 2020), and this is consistent with research findings from </w:t>
      </w:r>
      <w:r w:rsidR="00A35B8C" w:rsidRPr="00DE3274">
        <w:rPr>
          <w:lang w:eastAsia="en-GB"/>
        </w:rPr>
        <w:t>other countries</w:t>
      </w:r>
      <w:r w:rsidR="005B74ED" w:rsidRPr="00DE3274">
        <w:rPr>
          <w:lang w:eastAsia="en-GB"/>
        </w:rPr>
        <w:t xml:space="preserve"> (</w:t>
      </w:r>
      <w:r w:rsidR="00D7562C" w:rsidRPr="00DE3274">
        <w:rPr>
          <w:shd w:val="clear" w:color="auto" w:fill="FFFFFF"/>
        </w:rPr>
        <w:t>Huang &amp; Zhao, 2020</w:t>
      </w:r>
      <w:r w:rsidR="005B74ED" w:rsidRPr="00DE3274">
        <w:rPr>
          <w:lang w:eastAsia="en-GB"/>
        </w:rPr>
        <w:t>)</w:t>
      </w:r>
      <w:r w:rsidR="0012350D">
        <w:rPr>
          <w:lang w:eastAsia="en-GB"/>
        </w:rPr>
        <w:t>.</w:t>
      </w:r>
    </w:p>
    <w:p w14:paraId="0399B989" w14:textId="25444CEC" w:rsidR="002F0EDB" w:rsidRPr="00DE3274" w:rsidRDefault="003A1411" w:rsidP="00EA489E">
      <w:pPr>
        <w:spacing w:before="240" w:after="240" w:line="360" w:lineRule="auto"/>
        <w:rPr>
          <w:shd w:val="clear" w:color="auto" w:fill="FFFFFF"/>
        </w:rPr>
      </w:pPr>
      <w:r>
        <w:rPr>
          <w:lang w:eastAsia="en-GB"/>
        </w:rPr>
        <w:t>To date, o</w:t>
      </w:r>
      <w:r w:rsidR="00594A35" w:rsidRPr="00DE3274">
        <w:rPr>
          <w:lang w:eastAsia="en-GB"/>
        </w:rPr>
        <w:t xml:space="preserve">ne area that has received </w:t>
      </w:r>
      <w:r w:rsidR="0092287E" w:rsidRPr="00DE3274">
        <w:rPr>
          <w:lang w:eastAsia="en-GB"/>
        </w:rPr>
        <w:t xml:space="preserve">little </w:t>
      </w:r>
      <w:r w:rsidR="00A35B8C" w:rsidRPr="00DE3274">
        <w:rPr>
          <w:lang w:eastAsia="en-GB"/>
        </w:rPr>
        <w:t xml:space="preserve">attention in the context of the </w:t>
      </w:r>
      <w:r w:rsidR="008318D7" w:rsidRPr="00DE3274">
        <w:rPr>
          <w:lang w:eastAsia="en-GB"/>
        </w:rPr>
        <w:t xml:space="preserve">current </w:t>
      </w:r>
      <w:r w:rsidR="00594A35" w:rsidRPr="00DE3274">
        <w:rPr>
          <w:lang w:eastAsia="en-GB"/>
        </w:rPr>
        <w:t xml:space="preserve">pandemic is the </w:t>
      </w:r>
      <w:r w:rsidR="00A35B8C" w:rsidRPr="00DE3274">
        <w:rPr>
          <w:lang w:eastAsia="en-GB"/>
        </w:rPr>
        <w:t xml:space="preserve">association between anxiety and </w:t>
      </w:r>
      <w:r w:rsidR="00594A35" w:rsidRPr="00DE3274">
        <w:rPr>
          <w:lang w:eastAsia="en-GB"/>
        </w:rPr>
        <w:t xml:space="preserve">somatic symptoms. </w:t>
      </w:r>
      <w:r w:rsidR="00872B95" w:rsidRPr="00DE3274">
        <w:rPr>
          <w:lang w:eastAsia="en-GB"/>
        </w:rPr>
        <w:t>There is evidence from general population studies that somatic symptoms are frequently reported</w:t>
      </w:r>
      <w:r w:rsidR="002E17B9" w:rsidRPr="00DE3274">
        <w:rPr>
          <w:shd w:val="clear" w:color="auto" w:fill="FFFFFF"/>
        </w:rPr>
        <w:t xml:space="preserve"> and positively associated with depression and anxiety</w:t>
      </w:r>
      <w:r w:rsidR="003A5B3B" w:rsidRPr="00DE3274">
        <w:rPr>
          <w:shd w:val="clear" w:color="auto" w:fill="FFFFFF"/>
        </w:rPr>
        <w:t xml:space="preserve"> </w:t>
      </w:r>
      <w:r w:rsidR="003A5B3B" w:rsidRPr="00DE3274">
        <w:rPr>
          <w:lang w:eastAsia="en-GB"/>
        </w:rPr>
        <w:t>(</w:t>
      </w:r>
      <w:proofErr w:type="spellStart"/>
      <w:r w:rsidR="003A5B3B" w:rsidRPr="00DE3274">
        <w:rPr>
          <w:lang w:eastAsia="en-GB"/>
        </w:rPr>
        <w:t>Haug</w:t>
      </w:r>
      <w:proofErr w:type="spellEnd"/>
      <w:r w:rsidR="003A5B3B" w:rsidRPr="00DE3274">
        <w:rPr>
          <w:lang w:eastAsia="en-GB"/>
        </w:rPr>
        <w:t xml:space="preserve"> et al., 2004; </w:t>
      </w:r>
      <w:proofErr w:type="spellStart"/>
      <w:r w:rsidR="003A5B3B" w:rsidRPr="00DE3274">
        <w:rPr>
          <w:shd w:val="clear" w:color="auto" w:fill="FFFFFF"/>
        </w:rPr>
        <w:t>Hinz</w:t>
      </w:r>
      <w:proofErr w:type="spellEnd"/>
      <w:r w:rsidR="003A5B3B" w:rsidRPr="00DE3274">
        <w:rPr>
          <w:shd w:val="clear" w:color="auto" w:fill="FFFFFF"/>
        </w:rPr>
        <w:t>, et al., 2017)</w:t>
      </w:r>
      <w:r w:rsidR="002E17B9" w:rsidRPr="00DE3274">
        <w:rPr>
          <w:shd w:val="clear" w:color="auto" w:fill="FFFFFF"/>
        </w:rPr>
        <w:t xml:space="preserve">. </w:t>
      </w:r>
      <w:r w:rsidR="00594A35" w:rsidRPr="00DE3274">
        <w:rPr>
          <w:lang w:eastAsia="en-GB"/>
        </w:rPr>
        <w:t xml:space="preserve">A recent study in the Hubei province and non-endemic provinces of </w:t>
      </w:r>
      <w:r w:rsidR="004948E1">
        <w:rPr>
          <w:lang w:eastAsia="en-GB"/>
        </w:rPr>
        <w:t>C</w:t>
      </w:r>
      <w:r w:rsidR="00594A35" w:rsidRPr="00DE3274">
        <w:rPr>
          <w:lang w:eastAsia="en-GB"/>
        </w:rPr>
        <w:t>hina (Yuan et al., 2020) found associations between somatic symptoms and levels of anxiety during the</w:t>
      </w:r>
      <w:r w:rsidR="004C6511" w:rsidRPr="00DE3274">
        <w:rPr>
          <w:lang w:eastAsia="en-GB"/>
        </w:rPr>
        <w:t xml:space="preserve"> first two weeks of </w:t>
      </w:r>
      <w:r w:rsidR="0012350D">
        <w:rPr>
          <w:lang w:eastAsia="en-GB"/>
        </w:rPr>
        <w:t xml:space="preserve">the </w:t>
      </w:r>
      <w:r w:rsidR="00594A35" w:rsidRPr="00DE3274">
        <w:rPr>
          <w:lang w:eastAsia="en-GB"/>
        </w:rPr>
        <w:t xml:space="preserve">COVID-19 outbreak. As anxiety scores </w:t>
      </w:r>
      <w:r w:rsidR="00127ACE" w:rsidRPr="00DE3274">
        <w:rPr>
          <w:lang w:eastAsia="en-GB"/>
        </w:rPr>
        <w:t>decreased</w:t>
      </w:r>
      <w:r w:rsidR="000F3689" w:rsidRPr="00DE3274">
        <w:rPr>
          <w:lang w:eastAsia="en-GB"/>
        </w:rPr>
        <w:t>,</w:t>
      </w:r>
      <w:r w:rsidR="00594A35" w:rsidRPr="00DE3274">
        <w:rPr>
          <w:lang w:eastAsia="en-GB"/>
        </w:rPr>
        <w:t xml:space="preserve"> </w:t>
      </w:r>
      <w:r w:rsidR="00127ACE" w:rsidRPr="00DE3274">
        <w:rPr>
          <w:lang w:eastAsia="en-GB"/>
        </w:rPr>
        <w:t>there was a corresponding decrease in somatic symptoms.</w:t>
      </w:r>
    </w:p>
    <w:p w14:paraId="32458A57" w14:textId="6C168BFF" w:rsidR="00594A35" w:rsidRPr="00DE3274" w:rsidRDefault="00594A35" w:rsidP="00EA489E">
      <w:pPr>
        <w:spacing w:before="240" w:after="240" w:line="360" w:lineRule="auto"/>
        <w:rPr>
          <w:lang w:eastAsia="en-GB"/>
        </w:rPr>
      </w:pPr>
      <w:r w:rsidRPr="00DE3274">
        <w:rPr>
          <w:lang w:eastAsia="en-GB"/>
        </w:rPr>
        <w:t xml:space="preserve">The primary aim of this study was to examine if </w:t>
      </w:r>
      <w:r w:rsidR="00BD14AF" w:rsidRPr="00DE3274">
        <w:rPr>
          <w:lang w:eastAsia="en-GB"/>
        </w:rPr>
        <w:t>self-reported</w:t>
      </w:r>
      <w:r w:rsidR="00777104">
        <w:rPr>
          <w:lang w:eastAsia="en-GB"/>
        </w:rPr>
        <w:t xml:space="preserve"> anxiety related to the</w:t>
      </w:r>
      <w:r w:rsidRPr="00DE3274">
        <w:rPr>
          <w:lang w:eastAsia="en-GB"/>
        </w:rPr>
        <w:t xml:space="preserve"> COVID-19 </w:t>
      </w:r>
      <w:r w:rsidR="00777104">
        <w:rPr>
          <w:lang w:eastAsia="en-GB"/>
        </w:rPr>
        <w:t>pandemic</w:t>
      </w:r>
      <w:r w:rsidR="00777104" w:rsidRPr="00DE3274">
        <w:rPr>
          <w:lang w:eastAsia="en-GB"/>
        </w:rPr>
        <w:t xml:space="preserve"> </w:t>
      </w:r>
      <w:r w:rsidR="00BD14AF" w:rsidRPr="00DE3274">
        <w:rPr>
          <w:lang w:eastAsia="en-GB"/>
        </w:rPr>
        <w:t>predicted</w:t>
      </w:r>
      <w:r w:rsidRPr="00DE3274">
        <w:rPr>
          <w:lang w:eastAsia="en-GB"/>
        </w:rPr>
        <w:t xml:space="preserve"> </w:t>
      </w:r>
      <w:r w:rsidR="00BD14AF" w:rsidRPr="00DE3274">
        <w:rPr>
          <w:lang w:eastAsia="en-GB"/>
        </w:rPr>
        <w:t>scores on a validated</w:t>
      </w:r>
      <w:r w:rsidR="006D5295" w:rsidRPr="00DE3274">
        <w:rPr>
          <w:lang w:eastAsia="en-GB"/>
        </w:rPr>
        <w:t>,</w:t>
      </w:r>
      <w:r w:rsidR="00BD14AF" w:rsidRPr="00DE3274">
        <w:rPr>
          <w:lang w:eastAsia="en-GB"/>
        </w:rPr>
        <w:t xml:space="preserve"> multi-dimensional measure of </w:t>
      </w:r>
      <w:r w:rsidRPr="00DE3274">
        <w:rPr>
          <w:lang w:eastAsia="en-GB"/>
        </w:rPr>
        <w:t xml:space="preserve">somatic symptoms in a representative UK </w:t>
      </w:r>
      <w:r w:rsidR="006D5295" w:rsidRPr="00DE3274">
        <w:rPr>
          <w:lang w:eastAsia="en-GB"/>
        </w:rPr>
        <w:t xml:space="preserve">adult </w:t>
      </w:r>
      <w:r w:rsidRPr="00DE3274">
        <w:rPr>
          <w:lang w:eastAsia="en-GB"/>
        </w:rPr>
        <w:t xml:space="preserve">population sample. </w:t>
      </w:r>
      <w:r w:rsidR="00CB012A" w:rsidRPr="00DE3274">
        <w:rPr>
          <w:lang w:eastAsia="en-GB"/>
        </w:rPr>
        <w:t xml:space="preserve">In addition, </w:t>
      </w:r>
      <w:r w:rsidR="006D5295" w:rsidRPr="00DE3274">
        <w:rPr>
          <w:lang w:eastAsia="en-GB"/>
        </w:rPr>
        <w:t>it was predicted that COVID-19 anxiety would remain significantly associated with somatic symptoms after</w:t>
      </w:r>
      <w:r w:rsidR="00CB012A" w:rsidRPr="00DE3274">
        <w:rPr>
          <w:lang w:eastAsia="en-GB"/>
        </w:rPr>
        <w:t xml:space="preserve"> controlling for </w:t>
      </w:r>
      <w:r w:rsidR="006D5295" w:rsidRPr="00DE3274">
        <w:rPr>
          <w:lang w:eastAsia="en-GB"/>
        </w:rPr>
        <w:t xml:space="preserve">multiple </w:t>
      </w:r>
      <w:r w:rsidR="00CB012A" w:rsidRPr="00DE3274">
        <w:rPr>
          <w:lang w:eastAsia="en-GB"/>
        </w:rPr>
        <w:t xml:space="preserve">confounding variables </w:t>
      </w:r>
      <w:r w:rsidR="006D5295" w:rsidRPr="00DE3274">
        <w:rPr>
          <w:lang w:eastAsia="en-GB"/>
        </w:rPr>
        <w:t xml:space="preserve">including </w:t>
      </w:r>
      <w:r w:rsidR="00CB012A" w:rsidRPr="00DE3274">
        <w:rPr>
          <w:lang w:eastAsia="en-GB"/>
        </w:rPr>
        <w:t>age, gender, income, pre-existing health problems</w:t>
      </w:r>
      <w:r w:rsidR="006D5295" w:rsidRPr="00DE3274">
        <w:rPr>
          <w:lang w:eastAsia="en-GB"/>
        </w:rPr>
        <w:t>,</w:t>
      </w:r>
      <w:r w:rsidR="00CB012A" w:rsidRPr="00DE3274">
        <w:rPr>
          <w:lang w:eastAsia="en-GB"/>
        </w:rPr>
        <w:t xml:space="preserve"> and </w:t>
      </w:r>
      <w:r w:rsidR="00EA19F7" w:rsidRPr="00DE3274">
        <w:rPr>
          <w:lang w:eastAsia="en-GB"/>
        </w:rPr>
        <w:t>generalised anxiety</w:t>
      </w:r>
      <w:r w:rsidR="006D5295" w:rsidRPr="00DE3274">
        <w:rPr>
          <w:lang w:eastAsia="en-GB"/>
        </w:rPr>
        <w:t xml:space="preserve"> disorder</w:t>
      </w:r>
      <w:r w:rsidR="00DE2E5D" w:rsidRPr="00DE3274">
        <w:rPr>
          <w:lang w:eastAsia="en-GB"/>
        </w:rPr>
        <w:t xml:space="preserve"> </w:t>
      </w:r>
      <w:r w:rsidR="00777104">
        <w:rPr>
          <w:lang w:eastAsia="en-GB"/>
        </w:rPr>
        <w:t>(</w:t>
      </w:r>
      <w:r w:rsidR="00DE2E5D" w:rsidRPr="00DE3274">
        <w:rPr>
          <w:lang w:eastAsia="en-GB"/>
        </w:rPr>
        <w:t>GAD</w:t>
      </w:r>
      <w:r w:rsidR="00777104">
        <w:rPr>
          <w:lang w:eastAsia="en-GB"/>
        </w:rPr>
        <w:t>)</w:t>
      </w:r>
      <w:r w:rsidR="006D5295" w:rsidRPr="00DE3274">
        <w:rPr>
          <w:lang w:eastAsia="en-GB"/>
        </w:rPr>
        <w:t>.</w:t>
      </w:r>
    </w:p>
    <w:p w14:paraId="32D467C7" w14:textId="380594B9" w:rsidR="00EA19F7" w:rsidRPr="00DE3274" w:rsidRDefault="00EA19F7" w:rsidP="00764892">
      <w:pPr>
        <w:spacing w:line="360" w:lineRule="auto"/>
        <w:jc w:val="center"/>
        <w:rPr>
          <w:lang w:eastAsia="en-GB"/>
        </w:rPr>
      </w:pPr>
      <w:r w:rsidRPr="00DE3274">
        <w:rPr>
          <w:b/>
          <w:lang w:eastAsia="en-GB"/>
        </w:rPr>
        <w:t>Methods</w:t>
      </w:r>
    </w:p>
    <w:p w14:paraId="3026FC35" w14:textId="49274404" w:rsidR="003A4808" w:rsidRPr="00DE3274" w:rsidRDefault="00EA19F7" w:rsidP="00EA489E">
      <w:pPr>
        <w:spacing w:line="360" w:lineRule="auto"/>
        <w:rPr>
          <w:lang w:eastAsia="en-GB"/>
        </w:rPr>
      </w:pPr>
      <w:r w:rsidRPr="00764892">
        <w:rPr>
          <w:i/>
          <w:iCs/>
          <w:lang w:eastAsia="en-GB"/>
        </w:rPr>
        <w:t>Participants</w:t>
      </w:r>
    </w:p>
    <w:p w14:paraId="6453F862" w14:textId="4847CEB4" w:rsidR="00EA19F7" w:rsidRPr="00DE3274" w:rsidRDefault="006870B3" w:rsidP="00764892">
      <w:pPr>
        <w:spacing w:line="360" w:lineRule="auto"/>
        <w:rPr>
          <w:lang w:eastAsia="en-GB"/>
        </w:rPr>
      </w:pPr>
      <w:r w:rsidRPr="00DE3274">
        <w:t>Data collection started on 23</w:t>
      </w:r>
      <w:r w:rsidRPr="00DE3274">
        <w:rPr>
          <w:vertAlign w:val="superscript"/>
        </w:rPr>
        <w:t>rd</w:t>
      </w:r>
      <w:r w:rsidRPr="00DE3274">
        <w:t xml:space="preserve"> March 2020, 52 days after the first confirmed COVID-19 case in the UK and was completed on 28</w:t>
      </w:r>
      <w:r w:rsidRPr="00DE3274">
        <w:rPr>
          <w:vertAlign w:val="superscript"/>
        </w:rPr>
        <w:t>th</w:t>
      </w:r>
      <w:r w:rsidRPr="00DE3274">
        <w:t xml:space="preserve"> March 2020. </w:t>
      </w:r>
      <w:r w:rsidR="00EA19F7" w:rsidRPr="00DE3274">
        <w:t xml:space="preserve">Participants (N = 2,025) were recruited from an online research panel using stratified quota sampling to ensure that the sample characteristics of sex, age, household income (quintiles), and region of the UK matched the </w:t>
      </w:r>
      <w:r w:rsidR="00EA19F7" w:rsidRPr="00DE3274">
        <w:lastRenderedPageBreak/>
        <w:t xml:space="preserve">UK population. Subsequent checks ensured that they were also representative of the population in </w:t>
      </w:r>
      <w:r w:rsidR="0012350D">
        <w:t>ethnicity</w:t>
      </w:r>
      <w:r w:rsidR="00EA19F7" w:rsidRPr="00DE3274">
        <w:t>, number of people in household and other important demographic characteristics</w:t>
      </w:r>
      <w:r w:rsidR="003A4808" w:rsidRPr="00DE3274">
        <w:t xml:space="preserve"> (</w:t>
      </w:r>
      <w:r w:rsidR="00810AFB">
        <w:t xml:space="preserve">for details on recruitment and sample see </w:t>
      </w:r>
      <w:r w:rsidR="003A4808" w:rsidRPr="00DE3274">
        <w:t>McBride et al., 2020)</w:t>
      </w:r>
      <w:r w:rsidR="00EA19F7" w:rsidRPr="00DE3274">
        <w:t>.</w:t>
      </w:r>
    </w:p>
    <w:p w14:paraId="62A65046" w14:textId="1512B112" w:rsidR="003A4808" w:rsidRPr="00DE3274" w:rsidRDefault="003A4808" w:rsidP="00EA489E">
      <w:pPr>
        <w:spacing w:line="360" w:lineRule="auto"/>
        <w:rPr>
          <w:lang w:eastAsia="en-GB"/>
        </w:rPr>
      </w:pPr>
      <w:r w:rsidRPr="00764892">
        <w:rPr>
          <w:bCs/>
          <w:i/>
          <w:iCs/>
          <w:lang w:eastAsia="en-GB"/>
        </w:rPr>
        <w:t>Measures</w:t>
      </w:r>
    </w:p>
    <w:p w14:paraId="6AFF82B6" w14:textId="3B074722" w:rsidR="003A4808" w:rsidRPr="00DE3274" w:rsidRDefault="003A4808" w:rsidP="00EA489E">
      <w:pPr>
        <w:spacing w:line="360" w:lineRule="auto"/>
      </w:pPr>
      <w:r w:rsidRPr="00DE3274">
        <w:t>Self-reported gender and age were recorded.</w:t>
      </w:r>
    </w:p>
    <w:p w14:paraId="493FBC69" w14:textId="57394F66" w:rsidR="003A4808" w:rsidRDefault="003A4808" w:rsidP="00EA489E">
      <w:pPr>
        <w:spacing w:line="360" w:lineRule="auto"/>
      </w:pPr>
      <w:r w:rsidRPr="00DE3274">
        <w:rPr>
          <w:shd w:val="clear" w:color="auto" w:fill="FFFFFF"/>
        </w:rPr>
        <w:t>Income: Participants were asked “Please choose from the following options to indicate your approximate gross (before tax is taken away) household income in 2019 (last year). Include income from partners and other family members living with you and all kinds of earnings including salaries and benefits”</w:t>
      </w:r>
      <w:r w:rsidR="004948E1">
        <w:rPr>
          <w:shd w:val="clear" w:color="auto" w:fill="FFFFFF"/>
        </w:rPr>
        <w:t>;</w:t>
      </w:r>
      <w:r w:rsidR="00BD102A" w:rsidRPr="00DE3274">
        <w:rPr>
          <w:shd w:val="clear" w:color="auto" w:fill="FFFFFF"/>
        </w:rPr>
        <w:t xml:space="preserve"> </w:t>
      </w:r>
      <w:r w:rsidR="004948E1">
        <w:rPr>
          <w:shd w:val="clear" w:color="auto" w:fill="FFFFFF"/>
        </w:rPr>
        <w:t xml:space="preserve">they </w:t>
      </w:r>
      <w:r w:rsidR="00BD102A" w:rsidRPr="00DE3274">
        <w:rPr>
          <w:shd w:val="clear" w:color="auto" w:fill="FFFFFF"/>
        </w:rPr>
        <w:t xml:space="preserve">had to </w:t>
      </w:r>
      <w:r w:rsidRPr="00DE3274">
        <w:rPr>
          <w:shd w:val="clear" w:color="auto" w:fill="FFFFFF"/>
        </w:rPr>
        <w:t>choose one of 5 categories</w:t>
      </w:r>
      <w:r w:rsidR="00BD102A" w:rsidRPr="00DE3274">
        <w:rPr>
          <w:shd w:val="clear" w:color="auto" w:fill="FFFFFF"/>
        </w:rPr>
        <w:t xml:space="preserve"> ranging from </w:t>
      </w:r>
      <w:r w:rsidR="004948E1">
        <w:rPr>
          <w:shd w:val="clear" w:color="auto" w:fill="FFFFFF"/>
        </w:rPr>
        <w:t>“</w:t>
      </w:r>
      <w:r w:rsidR="00BD102A" w:rsidRPr="00DE3274">
        <w:rPr>
          <w:shd w:val="clear" w:color="auto" w:fill="FFFFFF"/>
        </w:rPr>
        <w:t>no income</w:t>
      </w:r>
      <w:r w:rsidR="00BD102A" w:rsidRPr="00DE3274">
        <w:t xml:space="preserve"> to</w:t>
      </w:r>
      <w:r w:rsidRPr="00DE3274">
        <w:t xml:space="preserve"> </w:t>
      </w:r>
      <w:r w:rsidR="00BD102A" w:rsidRPr="00DE3274">
        <w:t>£</w:t>
      </w:r>
      <w:r w:rsidRPr="00DE3274">
        <w:t>15,490 per year</w:t>
      </w:r>
      <w:r w:rsidR="004948E1">
        <w:t>”</w:t>
      </w:r>
      <w:r w:rsidR="00BD102A" w:rsidRPr="00DE3274">
        <w:t xml:space="preserve"> to </w:t>
      </w:r>
      <w:r w:rsidR="004948E1">
        <w:t>“</w:t>
      </w:r>
      <w:r w:rsidR="00BD102A" w:rsidRPr="00DE3274">
        <w:t>£57,931 or more per year</w:t>
      </w:r>
      <w:r w:rsidR="004948E1">
        <w:t>”</w:t>
      </w:r>
      <w:r w:rsidRPr="00DE3274">
        <w:t>.</w:t>
      </w:r>
    </w:p>
    <w:p w14:paraId="2B501978" w14:textId="39D98AF2" w:rsidR="009C3656" w:rsidRPr="00DE3274" w:rsidRDefault="009C3656" w:rsidP="00EA489E">
      <w:pPr>
        <w:spacing w:line="360" w:lineRule="auto"/>
      </w:pPr>
      <w:r>
        <w:rPr>
          <w:lang w:eastAsia="en-GB"/>
        </w:rPr>
        <w:t>P</w:t>
      </w:r>
      <w:r w:rsidRPr="00DE3274">
        <w:rPr>
          <w:lang w:eastAsia="en-GB"/>
        </w:rPr>
        <w:t>re-existing health problems</w:t>
      </w:r>
      <w:r w:rsidR="007156C6">
        <w:rPr>
          <w:lang w:eastAsia="en-GB"/>
        </w:rPr>
        <w:t>:</w:t>
      </w:r>
      <w:r w:rsidR="007156C6" w:rsidRPr="007156C6">
        <w:rPr>
          <w:color w:val="000000" w:themeColor="text1"/>
          <w:shd w:val="clear" w:color="auto" w:fill="FFFFFF"/>
        </w:rPr>
        <w:t xml:space="preserve"> </w:t>
      </w:r>
      <w:r w:rsidR="007156C6" w:rsidRPr="00D02CC1">
        <w:rPr>
          <w:color w:val="000000" w:themeColor="text1"/>
          <w:shd w:val="clear" w:color="auto" w:fill="FFFFFF"/>
        </w:rPr>
        <w:t>Participants were asked “</w:t>
      </w:r>
      <w:r w:rsidR="007156C6" w:rsidRPr="007156C6">
        <w:rPr>
          <w:color w:val="000000" w:themeColor="text1"/>
          <w:shd w:val="clear" w:color="auto" w:fill="FFFFFF"/>
        </w:rPr>
        <w:t>Were you diagnosed with a health condition (e.g. heart or lung disease; diabetes; cancer) before December 31st 2019 (i.e. before the start of the coronavirus COVID-19 outbreak)?</w:t>
      </w:r>
      <w:r w:rsidR="007156C6" w:rsidRPr="00D02CC1">
        <w:rPr>
          <w:color w:val="000000" w:themeColor="text1"/>
          <w:shd w:val="clear" w:color="auto" w:fill="FFFFFF"/>
        </w:rPr>
        <w:t>” and the response options were ‘Yes’ (1) and ‘No’ (0).</w:t>
      </w:r>
    </w:p>
    <w:p w14:paraId="4CB18163" w14:textId="37A3FD77" w:rsidR="002F0EDB" w:rsidRPr="00DE3274" w:rsidRDefault="0012350D" w:rsidP="00EA489E">
      <w:pPr>
        <w:spacing w:line="360" w:lineRule="auto"/>
        <w:rPr>
          <w:shd w:val="clear" w:color="auto" w:fill="FFFFFF"/>
          <w:lang w:eastAsia="en-GB"/>
        </w:rPr>
      </w:pPr>
      <w:r w:rsidRPr="00DE3274">
        <w:t>C</w:t>
      </w:r>
      <w:r>
        <w:t>OVID</w:t>
      </w:r>
      <w:r w:rsidR="002F0EDB" w:rsidRPr="00DE3274">
        <w:t>-19</w:t>
      </w:r>
      <w:r w:rsidR="00F34ED2">
        <w:t>-</w:t>
      </w:r>
      <w:r w:rsidR="002F0EDB" w:rsidRPr="00DE3274">
        <w:t>related anxiety: The survey included a question “</w:t>
      </w:r>
      <w:r w:rsidR="002F0EDB" w:rsidRPr="00DE3274">
        <w:rPr>
          <w:shd w:val="clear" w:color="auto" w:fill="FFFFFF"/>
          <w:lang w:eastAsia="en-GB"/>
        </w:rPr>
        <w:t>How anxious are you about the coronavirus COVID-19 pandemic?”</w:t>
      </w:r>
      <w:r w:rsidR="004948E1">
        <w:rPr>
          <w:shd w:val="clear" w:color="auto" w:fill="FFFFFF"/>
          <w:lang w:eastAsia="en-GB"/>
        </w:rPr>
        <w:t>;</w:t>
      </w:r>
      <w:r w:rsidR="002F0EDB" w:rsidRPr="00DE3274">
        <w:rPr>
          <w:shd w:val="clear" w:color="auto" w:fill="FFFFFF"/>
          <w:lang w:eastAsia="en-GB"/>
        </w:rPr>
        <w:t xml:space="preserve"> participants were provided with a ‘slider’ (electronic visual analogue scale) to indicate their degree of anxiety with ‘0’ and ‘100’ at the left</w:t>
      </w:r>
      <w:r w:rsidR="004948E1">
        <w:rPr>
          <w:shd w:val="clear" w:color="auto" w:fill="FFFFFF"/>
          <w:lang w:eastAsia="en-GB"/>
        </w:rPr>
        <w:t>-</w:t>
      </w:r>
      <w:r w:rsidR="002F0EDB" w:rsidRPr="00DE3274">
        <w:rPr>
          <w:shd w:val="clear" w:color="auto" w:fill="FFFFFF"/>
          <w:lang w:eastAsia="en-GB"/>
        </w:rPr>
        <w:t xml:space="preserve"> and right</w:t>
      </w:r>
      <w:r w:rsidR="004948E1">
        <w:rPr>
          <w:shd w:val="clear" w:color="auto" w:fill="FFFFFF"/>
          <w:lang w:eastAsia="en-GB"/>
        </w:rPr>
        <w:t>-</w:t>
      </w:r>
      <w:r w:rsidR="002F0EDB" w:rsidRPr="00DE3274">
        <w:rPr>
          <w:shd w:val="clear" w:color="auto" w:fill="FFFFFF"/>
          <w:lang w:eastAsia="en-GB"/>
        </w:rPr>
        <w:t>hand extremes respectively, and 10</w:t>
      </w:r>
      <w:r w:rsidR="008A6BCA">
        <w:rPr>
          <w:shd w:val="clear" w:color="auto" w:fill="FFFFFF"/>
          <w:lang w:eastAsia="en-GB"/>
        </w:rPr>
        <w:t>-</w:t>
      </w:r>
      <w:r w:rsidR="002F0EDB" w:rsidRPr="00DE3274">
        <w:rPr>
          <w:shd w:val="clear" w:color="auto" w:fill="FFFFFF"/>
          <w:lang w:eastAsia="en-GB"/>
        </w:rPr>
        <w:t xml:space="preserve">point increments. </w:t>
      </w:r>
      <w:r w:rsidR="002F0EDB" w:rsidRPr="00DE3274">
        <w:rPr>
          <w:lang w:eastAsia="en-GB"/>
        </w:rPr>
        <w:t xml:space="preserve">This produced continuous scores ranging from 0 to 100 with higher scores reflecting higher levels of </w:t>
      </w:r>
      <w:r w:rsidR="002F0EDB" w:rsidRPr="00DE3274">
        <w:rPr>
          <w:shd w:val="clear" w:color="auto" w:fill="FFFFFF"/>
          <w:lang w:eastAsia="en-GB"/>
        </w:rPr>
        <w:t>COVID-19</w:t>
      </w:r>
      <w:r w:rsidR="00F34ED2">
        <w:rPr>
          <w:shd w:val="clear" w:color="auto" w:fill="FFFFFF"/>
          <w:lang w:eastAsia="en-GB"/>
        </w:rPr>
        <w:t>-</w:t>
      </w:r>
      <w:r w:rsidR="002F0EDB" w:rsidRPr="00DE3274">
        <w:rPr>
          <w:shd w:val="clear" w:color="auto" w:fill="FFFFFF"/>
          <w:lang w:eastAsia="en-GB"/>
        </w:rPr>
        <w:t xml:space="preserve">related anxiety. </w:t>
      </w:r>
    </w:p>
    <w:p w14:paraId="183E1594" w14:textId="293F8304" w:rsidR="00831FDA" w:rsidRPr="00DE3274" w:rsidRDefault="00831FDA" w:rsidP="00EA489E">
      <w:pPr>
        <w:spacing w:line="360" w:lineRule="auto"/>
      </w:pPr>
      <w:r w:rsidRPr="00DE3274">
        <w:t xml:space="preserve">Generalized Anxiety: Symptoms of </w:t>
      </w:r>
      <w:r w:rsidR="00777104">
        <w:t>GAD</w:t>
      </w:r>
      <w:r w:rsidRPr="00DE3274">
        <w:t xml:space="preserve"> were measured using the Generalized Anxiety Disorder 7-item Scale (GAD-7</w:t>
      </w:r>
      <w:r w:rsidR="0038327F" w:rsidRPr="00DE3274">
        <w:t xml:space="preserve">: </w:t>
      </w:r>
      <w:r w:rsidR="0038327F" w:rsidRPr="00DE3274">
        <w:rPr>
          <w:noProof/>
        </w:rPr>
        <w:t>Spitzer, Kroenke, Williams, Löwe, 2006</w:t>
      </w:r>
      <w:r w:rsidR="00BD102A" w:rsidRPr="00DE3274">
        <w:t>)</w:t>
      </w:r>
      <w:r w:rsidR="004948E1">
        <w:t>;</w:t>
      </w:r>
      <w:r w:rsidR="00BD102A" w:rsidRPr="00DE3274">
        <w:t xml:space="preserve"> participants </w:t>
      </w:r>
      <w:r w:rsidR="00777104">
        <w:t xml:space="preserve">were </w:t>
      </w:r>
      <w:r w:rsidR="00F932AC" w:rsidRPr="00DE3274">
        <w:t xml:space="preserve">categorised </w:t>
      </w:r>
      <w:r w:rsidR="00777104">
        <w:t>as screening positive for GAD if they scored</w:t>
      </w:r>
      <w:r w:rsidR="005C65B3" w:rsidRPr="00DE3274">
        <w:t xml:space="preserve"> </w:t>
      </w:r>
      <w:r w:rsidR="00F932AC" w:rsidRPr="00DE3274">
        <w:t xml:space="preserve">above the cut-off score of </w:t>
      </w:r>
      <w:r w:rsidR="00777104" w:rsidRPr="00764892">
        <w:rPr>
          <w:u w:val="single"/>
        </w:rPr>
        <w:t>&gt;</w:t>
      </w:r>
      <w:r w:rsidR="00777104">
        <w:t xml:space="preserve"> </w:t>
      </w:r>
      <w:r w:rsidR="00F932AC" w:rsidRPr="00DE3274">
        <w:t xml:space="preserve">10. </w:t>
      </w:r>
      <w:r w:rsidRPr="00DE3274">
        <w:t>The GAD-7 has been shown to produce reliable and va</w:t>
      </w:r>
      <w:r w:rsidR="00DE3274">
        <w:t>lid scores in community studies</w:t>
      </w:r>
      <w:r w:rsidR="004948E1">
        <w:t>,</w:t>
      </w:r>
      <w:r w:rsidR="00DE3274">
        <w:t xml:space="preserve"> </w:t>
      </w:r>
      <w:r w:rsidRPr="00DE3274">
        <w:t xml:space="preserve">and the reliability in the current sample was high (α = .94). </w:t>
      </w:r>
    </w:p>
    <w:p w14:paraId="6F67C164" w14:textId="702C01BA" w:rsidR="00A5133F" w:rsidRPr="00DE3274" w:rsidRDefault="00AB6238" w:rsidP="00764892">
      <w:pPr>
        <w:spacing w:line="360" w:lineRule="auto"/>
      </w:pPr>
      <w:r w:rsidRPr="00DE3274">
        <w:t>Somatic symptoms: Somatic symptoms were measured using the Patient Health Question</w:t>
      </w:r>
      <w:r w:rsidR="00723345">
        <w:t>naire</w:t>
      </w:r>
      <w:r w:rsidR="009C486D" w:rsidRPr="00DE3274">
        <w:t xml:space="preserve"> (PHQ-15: </w:t>
      </w:r>
      <w:r w:rsidR="00A5133F" w:rsidRPr="00DE3274">
        <w:t>Kroenke, Spitzer, Williams, 2002</w:t>
      </w:r>
      <w:r w:rsidR="009C486D" w:rsidRPr="00DE3274">
        <w:t>)</w:t>
      </w:r>
      <w:r w:rsidR="00A5133F" w:rsidRPr="00DE3274">
        <w:t xml:space="preserve">. The PHQ-15 </w:t>
      </w:r>
      <w:r w:rsidR="00977CD3" w:rsidRPr="00DE3274">
        <w:t xml:space="preserve">is a </w:t>
      </w:r>
      <w:r w:rsidR="00AB754A">
        <w:t xml:space="preserve">15-item </w:t>
      </w:r>
      <w:r w:rsidR="00977CD3" w:rsidRPr="00DE3274">
        <w:t xml:space="preserve">self-report measure </w:t>
      </w:r>
      <w:r w:rsidR="00C50472" w:rsidRPr="00DE3274">
        <w:t>that asks participants</w:t>
      </w:r>
      <w:r w:rsidR="000878DA" w:rsidRPr="00DE3274">
        <w:t xml:space="preserve"> the degree to which they have been bother</w:t>
      </w:r>
      <w:r w:rsidR="002E5AE6" w:rsidRPr="00DE3274">
        <w:t>ed</w:t>
      </w:r>
      <w:r w:rsidR="000878DA" w:rsidRPr="00DE3274">
        <w:t xml:space="preserve"> by physical health problems in the last </w:t>
      </w:r>
      <w:r w:rsidR="00777104">
        <w:t>two</w:t>
      </w:r>
      <w:r w:rsidR="00777104" w:rsidRPr="00DE3274">
        <w:t xml:space="preserve"> </w:t>
      </w:r>
      <w:r w:rsidR="000878DA" w:rsidRPr="00DE3274">
        <w:t>weeks</w:t>
      </w:r>
      <w:r w:rsidR="00AB754A">
        <w:t xml:space="preserve"> (items are rated on a 3-point Likert scale ranging from 0 [not bothered at all] to 2 [bothered a lot])</w:t>
      </w:r>
      <w:r w:rsidR="000878DA" w:rsidRPr="00DE3274">
        <w:t xml:space="preserve">. </w:t>
      </w:r>
      <w:r w:rsidR="00810AFB" w:rsidRPr="00EA489E">
        <w:t xml:space="preserve">The scale was scored </w:t>
      </w:r>
      <w:r w:rsidR="00810AFB">
        <w:t>using the</w:t>
      </w:r>
      <w:r w:rsidR="00810AFB" w:rsidRPr="00EA489E">
        <w:rPr>
          <w:lang w:eastAsia="en-GB"/>
        </w:rPr>
        <w:t xml:space="preserve"> multi-dimensional</w:t>
      </w:r>
      <w:r w:rsidR="00810AFB" w:rsidRPr="00EA489E">
        <w:t xml:space="preserve"> approach proposed by </w:t>
      </w:r>
      <w:r w:rsidR="00810AFB" w:rsidRPr="00EA489E">
        <w:rPr>
          <w:lang w:eastAsia="en-GB"/>
        </w:rPr>
        <w:t>Cano-García et al., (2020)</w:t>
      </w:r>
      <w:r w:rsidR="0019365F">
        <w:rPr>
          <w:lang w:eastAsia="en-GB"/>
        </w:rPr>
        <w:t>; following these authors, we</w:t>
      </w:r>
      <w:r w:rsidR="00810AFB">
        <w:rPr>
          <w:lang w:eastAsia="en-GB"/>
        </w:rPr>
        <w:t xml:space="preserve"> excluded the </w:t>
      </w:r>
      <w:r w:rsidR="00810AFB" w:rsidRPr="00EA489E">
        <w:t>‘menstrual problems’ item</w:t>
      </w:r>
      <w:r w:rsidR="00810AFB">
        <w:t xml:space="preserve">, </w:t>
      </w:r>
      <w:r w:rsidR="004C3C3D">
        <w:t xml:space="preserve">which contains gender-specific content, </w:t>
      </w:r>
      <w:r w:rsidR="00810AFB">
        <w:t>and the ‘fainting spells’</w:t>
      </w:r>
      <w:r w:rsidR="00810AFB" w:rsidRPr="00EA489E">
        <w:t xml:space="preserve"> </w:t>
      </w:r>
      <w:r w:rsidR="004C3C3D">
        <w:t>item, which has</w:t>
      </w:r>
      <w:r w:rsidR="00810AFB" w:rsidRPr="00EA489E">
        <w:t xml:space="preserve"> previously been found to have low endorsement rates</w:t>
      </w:r>
      <w:r w:rsidR="00810AFB">
        <w:t>.</w:t>
      </w:r>
      <w:r w:rsidR="00810AFB">
        <w:rPr>
          <w:lang w:eastAsia="en-GB"/>
        </w:rPr>
        <w:t xml:space="preserve">  </w:t>
      </w:r>
      <w:r w:rsidR="000878DA" w:rsidRPr="00DE3274">
        <w:t>The total scale score</w:t>
      </w:r>
      <w:r w:rsidR="002E5AE6" w:rsidRPr="00DE3274">
        <w:t>s</w:t>
      </w:r>
      <w:r w:rsidR="000878DA" w:rsidRPr="00DE3274">
        <w:t xml:space="preserve"> and subscale</w:t>
      </w:r>
      <w:r w:rsidR="002E5AE6" w:rsidRPr="00DE3274">
        <w:t>s</w:t>
      </w:r>
      <w:r w:rsidR="000878DA" w:rsidRPr="00DE3274">
        <w:t xml:space="preserve"> reflecting </w:t>
      </w:r>
      <w:r w:rsidR="00B13A82" w:rsidRPr="00DE3274">
        <w:rPr>
          <w:lang w:eastAsia="en-GB"/>
        </w:rPr>
        <w:t>p</w:t>
      </w:r>
      <w:r w:rsidR="000878DA" w:rsidRPr="00DE3274">
        <w:t>ain symptoms</w:t>
      </w:r>
      <w:r w:rsidR="002E5AE6" w:rsidRPr="00DE3274">
        <w:t>,</w:t>
      </w:r>
      <w:r w:rsidR="000878DA" w:rsidRPr="00DE3274">
        <w:t xml:space="preserve"> </w:t>
      </w:r>
      <w:r w:rsidR="00340FCE" w:rsidRPr="00DE3274">
        <w:t>gastrointestinal symptoms</w:t>
      </w:r>
      <w:r w:rsidR="002E5AE6" w:rsidRPr="00DE3274">
        <w:t xml:space="preserve">, </w:t>
      </w:r>
      <w:r w:rsidR="00340FCE" w:rsidRPr="00DE3274">
        <w:lastRenderedPageBreak/>
        <w:t>c</w:t>
      </w:r>
      <w:r w:rsidR="000878DA" w:rsidRPr="00DE3274">
        <w:t xml:space="preserve">ardiopulmonary symptoms and fatigue symptoms </w:t>
      </w:r>
      <w:r w:rsidR="002E5AE6" w:rsidRPr="00DE3274">
        <w:t>were used</w:t>
      </w:r>
      <w:r w:rsidR="004948E1">
        <w:t>.</w:t>
      </w:r>
      <w:r w:rsidR="00BC050E">
        <w:t xml:space="preserve"> Multiple previous studies attest to the reliability and validity of the PHQ-15</w:t>
      </w:r>
      <w:r w:rsidR="007B0A75">
        <w:t xml:space="preserve"> (</w:t>
      </w:r>
      <w:proofErr w:type="spellStart"/>
      <w:r w:rsidR="007B0A75">
        <w:t>Hinz</w:t>
      </w:r>
      <w:proofErr w:type="spellEnd"/>
      <w:r w:rsidR="007B0A75">
        <w:t xml:space="preserve"> et al., 2017)</w:t>
      </w:r>
      <w:r w:rsidR="00BC050E">
        <w:t>.</w:t>
      </w:r>
    </w:p>
    <w:p w14:paraId="26396655" w14:textId="77777777" w:rsidR="00BD1F30" w:rsidRDefault="00BD1F30" w:rsidP="00EA489E">
      <w:pPr>
        <w:spacing w:line="360" w:lineRule="auto"/>
        <w:rPr>
          <w:bCs/>
          <w:i/>
          <w:iCs/>
          <w:lang w:eastAsia="en-GB"/>
        </w:rPr>
      </w:pPr>
    </w:p>
    <w:p w14:paraId="0738A6E3" w14:textId="07967E09" w:rsidR="002F0EDB" w:rsidRPr="00DE3274" w:rsidRDefault="002F0EDB" w:rsidP="00EA489E">
      <w:pPr>
        <w:spacing w:line="360" w:lineRule="auto"/>
        <w:rPr>
          <w:lang w:eastAsia="en-GB"/>
        </w:rPr>
      </w:pPr>
      <w:r w:rsidRPr="00764892">
        <w:rPr>
          <w:bCs/>
          <w:i/>
          <w:iCs/>
          <w:lang w:eastAsia="en-GB"/>
        </w:rPr>
        <w:t>Analysis</w:t>
      </w:r>
    </w:p>
    <w:p w14:paraId="16822129" w14:textId="634B3AF9" w:rsidR="00067092" w:rsidRPr="00DE3274" w:rsidRDefault="0012350D" w:rsidP="00EA489E">
      <w:pPr>
        <w:spacing w:line="360" w:lineRule="auto"/>
        <w:rPr>
          <w:lang w:eastAsia="en-GB"/>
        </w:rPr>
      </w:pPr>
      <w:r>
        <w:rPr>
          <w:lang w:eastAsia="en-GB"/>
        </w:rPr>
        <w:t>S</w:t>
      </w:r>
      <w:r w:rsidR="001312A4" w:rsidRPr="00DE3274">
        <w:rPr>
          <w:lang w:eastAsia="en-GB"/>
        </w:rPr>
        <w:t xml:space="preserve">cores on the COVID-19 anxiety variable were categorised into </w:t>
      </w:r>
      <w:r w:rsidR="00E00017" w:rsidRPr="00DE3274">
        <w:rPr>
          <w:lang w:eastAsia="en-GB"/>
        </w:rPr>
        <w:t xml:space="preserve">quintiles, and the quintiles were dummy-coded with the lowest quintile used as the reference category. </w:t>
      </w:r>
      <w:r w:rsidR="007B0A75">
        <w:rPr>
          <w:lang w:eastAsia="en-GB"/>
        </w:rPr>
        <w:t>This allowed to test for non-linear associations</w:t>
      </w:r>
      <w:r w:rsidR="00D90362">
        <w:rPr>
          <w:lang w:eastAsia="en-GB"/>
        </w:rPr>
        <w:t>.</w:t>
      </w:r>
      <w:r w:rsidR="007B0A75">
        <w:rPr>
          <w:lang w:eastAsia="en-GB"/>
        </w:rPr>
        <w:t xml:space="preserve"> </w:t>
      </w:r>
      <w:r w:rsidR="00206D5B" w:rsidRPr="00DE3274">
        <w:rPr>
          <w:lang w:eastAsia="en-GB"/>
        </w:rPr>
        <w:t>R</w:t>
      </w:r>
      <w:r w:rsidR="001312A4" w:rsidRPr="00DE3274">
        <w:rPr>
          <w:lang w:eastAsia="en-GB"/>
        </w:rPr>
        <w:t xml:space="preserve">egression models were </w:t>
      </w:r>
      <w:r w:rsidR="00206D5B" w:rsidRPr="00DE3274">
        <w:rPr>
          <w:lang w:eastAsia="en-GB"/>
        </w:rPr>
        <w:t xml:space="preserve">used to estimate the relationship between the COVID-19 anxiety </w:t>
      </w:r>
      <w:r w:rsidR="0075461E" w:rsidRPr="00DE3274">
        <w:rPr>
          <w:lang w:eastAsia="en-GB"/>
        </w:rPr>
        <w:t xml:space="preserve">quintiles </w:t>
      </w:r>
      <w:r w:rsidR="00206D5B" w:rsidRPr="00DE3274">
        <w:rPr>
          <w:lang w:eastAsia="en-GB"/>
        </w:rPr>
        <w:t>and the PHQ-15 subscales</w:t>
      </w:r>
      <w:r w:rsidR="0092015F">
        <w:rPr>
          <w:lang w:eastAsia="en-GB"/>
        </w:rPr>
        <w:t xml:space="preserve"> (pain, gastrointestinal, cardiopulmonary and fatigue)</w:t>
      </w:r>
      <w:r w:rsidR="00206D5B" w:rsidRPr="00DE3274">
        <w:rPr>
          <w:lang w:eastAsia="en-GB"/>
        </w:rPr>
        <w:t xml:space="preserve">. </w:t>
      </w:r>
      <w:r w:rsidR="001312A4" w:rsidRPr="00DE3274">
        <w:rPr>
          <w:lang w:eastAsia="en-GB"/>
        </w:rPr>
        <w:t xml:space="preserve">Model 1 included </w:t>
      </w:r>
      <w:r w:rsidR="00560512" w:rsidRPr="00DE3274">
        <w:rPr>
          <w:lang w:eastAsia="en-GB"/>
        </w:rPr>
        <w:t xml:space="preserve">the </w:t>
      </w:r>
      <w:r w:rsidR="00F6113B" w:rsidRPr="00DE3274">
        <w:rPr>
          <w:lang w:eastAsia="en-GB"/>
        </w:rPr>
        <w:t xml:space="preserve">four </w:t>
      </w:r>
      <w:r w:rsidR="00560512" w:rsidRPr="00DE3274">
        <w:rPr>
          <w:lang w:eastAsia="en-GB"/>
        </w:rPr>
        <w:t>dummy-coded COVID-19 anxiety</w:t>
      </w:r>
      <w:r w:rsidR="00C0676E" w:rsidRPr="00DE3274">
        <w:rPr>
          <w:lang w:eastAsia="en-GB"/>
        </w:rPr>
        <w:t xml:space="preserve"> variables as predictors of the </w:t>
      </w:r>
      <w:r w:rsidR="00D90362">
        <w:rPr>
          <w:lang w:eastAsia="en-GB"/>
        </w:rPr>
        <w:t>four</w:t>
      </w:r>
      <w:r w:rsidR="00C0676E" w:rsidRPr="00DE3274">
        <w:rPr>
          <w:lang w:eastAsia="en-GB"/>
        </w:rPr>
        <w:t xml:space="preserve"> PHQ-15 subscales</w:t>
      </w:r>
      <w:r w:rsidR="009C3656">
        <w:rPr>
          <w:lang w:eastAsia="en-GB"/>
        </w:rPr>
        <w:t>; the four subscale scores were included in a single model</w:t>
      </w:r>
      <w:r w:rsidR="00F6113B" w:rsidRPr="00DE3274">
        <w:rPr>
          <w:lang w:eastAsia="en-GB"/>
        </w:rPr>
        <w:t>.</w:t>
      </w:r>
      <w:r w:rsidR="009C3656">
        <w:rPr>
          <w:lang w:eastAsia="en-GB"/>
        </w:rPr>
        <w:t xml:space="preserve"> T</w:t>
      </w:r>
      <w:r w:rsidR="00206D5B" w:rsidRPr="00DE3274">
        <w:rPr>
          <w:lang w:eastAsia="en-GB"/>
        </w:rPr>
        <w:t>he regression coefficient</w:t>
      </w:r>
      <w:r w:rsidR="003415B2" w:rsidRPr="00DE3274">
        <w:rPr>
          <w:lang w:eastAsia="en-GB"/>
        </w:rPr>
        <w:t xml:space="preserve"> for each dummy</w:t>
      </w:r>
      <w:r w:rsidR="00F6113B" w:rsidRPr="00DE3274">
        <w:rPr>
          <w:lang w:eastAsia="en-GB"/>
        </w:rPr>
        <w:t>-coded</w:t>
      </w:r>
      <w:r w:rsidR="003415B2" w:rsidRPr="00DE3274">
        <w:rPr>
          <w:lang w:eastAsia="en-GB"/>
        </w:rPr>
        <w:t xml:space="preserve"> variable is</w:t>
      </w:r>
      <w:r w:rsidR="00206D5B" w:rsidRPr="00DE3274">
        <w:rPr>
          <w:lang w:eastAsia="en-GB"/>
        </w:rPr>
        <w:t xml:space="preserve"> interpreted</w:t>
      </w:r>
      <w:r w:rsidR="003415B2" w:rsidRPr="00DE3274">
        <w:rPr>
          <w:lang w:eastAsia="en-GB"/>
        </w:rPr>
        <w:t xml:space="preserve"> as the difference in means between </w:t>
      </w:r>
      <w:r w:rsidR="00F6113B" w:rsidRPr="00DE3274">
        <w:rPr>
          <w:lang w:eastAsia="en-GB"/>
        </w:rPr>
        <w:t xml:space="preserve">that </w:t>
      </w:r>
      <w:r w:rsidR="003415B2" w:rsidRPr="00DE3274">
        <w:rPr>
          <w:lang w:eastAsia="en-GB"/>
        </w:rPr>
        <w:t>quintile and the lowest quintile</w:t>
      </w:r>
      <w:r w:rsidR="00F6113B" w:rsidRPr="00DE3274">
        <w:rPr>
          <w:lang w:eastAsia="en-GB"/>
        </w:rPr>
        <w:t>.</w:t>
      </w:r>
      <w:r w:rsidR="00F024DC" w:rsidRPr="00DE3274">
        <w:rPr>
          <w:lang w:eastAsia="en-GB"/>
        </w:rPr>
        <w:t xml:space="preserve"> Model 1 was also run separately with the total PHQ-15 summed scale score</w:t>
      </w:r>
      <w:r w:rsidR="0075461E" w:rsidRPr="00DE3274">
        <w:rPr>
          <w:lang w:eastAsia="en-GB"/>
        </w:rPr>
        <w:t xml:space="preserve"> replacing the subscales</w:t>
      </w:r>
      <w:r w:rsidR="00F024DC" w:rsidRPr="00DE3274">
        <w:rPr>
          <w:lang w:eastAsia="en-GB"/>
        </w:rPr>
        <w:t xml:space="preserve">. </w:t>
      </w:r>
      <w:r w:rsidR="00D7562C" w:rsidRPr="00DE3274">
        <w:rPr>
          <w:lang w:eastAsia="en-GB"/>
        </w:rPr>
        <w:t>M</w:t>
      </w:r>
      <w:r w:rsidR="0075461E" w:rsidRPr="00DE3274">
        <w:rPr>
          <w:lang w:eastAsia="en-GB"/>
        </w:rPr>
        <w:t>odel 2</w:t>
      </w:r>
      <w:r w:rsidR="00671CFE" w:rsidRPr="00DE3274">
        <w:rPr>
          <w:lang w:eastAsia="en-GB"/>
        </w:rPr>
        <w:t xml:space="preserve"> </w:t>
      </w:r>
      <w:r w:rsidR="0075461E" w:rsidRPr="00DE3274">
        <w:rPr>
          <w:lang w:eastAsia="en-GB"/>
        </w:rPr>
        <w:t xml:space="preserve">included </w:t>
      </w:r>
      <w:r w:rsidR="004564CF" w:rsidRPr="00DE3274">
        <w:rPr>
          <w:lang w:eastAsia="en-GB"/>
        </w:rPr>
        <w:t xml:space="preserve">the </w:t>
      </w:r>
      <w:r w:rsidR="00F6113B" w:rsidRPr="00DE3274">
        <w:rPr>
          <w:lang w:eastAsia="en-GB"/>
        </w:rPr>
        <w:t>covariates</w:t>
      </w:r>
      <w:r w:rsidR="0075461E" w:rsidRPr="00DE3274">
        <w:rPr>
          <w:lang w:eastAsia="en-GB"/>
        </w:rPr>
        <w:t xml:space="preserve"> (age, gender, income, pre-existing health problems and </w:t>
      </w:r>
      <w:r w:rsidR="00777104">
        <w:rPr>
          <w:lang w:eastAsia="en-GB"/>
        </w:rPr>
        <w:t>GAD</w:t>
      </w:r>
      <w:r w:rsidR="0075461E" w:rsidRPr="00DE3274">
        <w:rPr>
          <w:lang w:eastAsia="en-GB"/>
        </w:rPr>
        <w:t xml:space="preserve">) </w:t>
      </w:r>
      <w:r w:rsidR="00671CFE" w:rsidRPr="00DE3274">
        <w:rPr>
          <w:lang w:eastAsia="en-GB"/>
        </w:rPr>
        <w:t>as predictors</w:t>
      </w:r>
      <w:r w:rsidR="0075461E" w:rsidRPr="00DE3274">
        <w:rPr>
          <w:lang w:eastAsia="en-GB"/>
        </w:rPr>
        <w:t xml:space="preserve">, and this model was estimated with the sub-scales </w:t>
      </w:r>
      <w:r w:rsidR="004564CF" w:rsidRPr="00DE3274">
        <w:rPr>
          <w:lang w:eastAsia="en-GB"/>
        </w:rPr>
        <w:t xml:space="preserve">as dependent variables, and with the total scale score as the </w:t>
      </w:r>
      <w:r w:rsidR="00067092" w:rsidRPr="00DE3274">
        <w:rPr>
          <w:lang w:eastAsia="en-GB"/>
        </w:rPr>
        <w:t>outcome</w:t>
      </w:r>
      <w:r w:rsidR="004564CF" w:rsidRPr="00DE3274">
        <w:rPr>
          <w:lang w:eastAsia="en-GB"/>
        </w:rPr>
        <w:t xml:space="preserve"> variable.</w:t>
      </w:r>
      <w:r w:rsidR="002E5AE6" w:rsidRPr="00DE3274">
        <w:rPr>
          <w:lang w:eastAsia="en-GB"/>
        </w:rPr>
        <w:t xml:space="preserve"> </w:t>
      </w:r>
      <w:r w:rsidR="00B06A10" w:rsidRPr="00DE3274">
        <w:rPr>
          <w:lang w:eastAsia="en-GB"/>
        </w:rPr>
        <w:t xml:space="preserve">All </w:t>
      </w:r>
      <w:r w:rsidR="009C3656">
        <w:rPr>
          <w:lang w:eastAsia="en-GB"/>
        </w:rPr>
        <w:t>four</w:t>
      </w:r>
      <w:r w:rsidR="00B06A10" w:rsidRPr="00DE3274">
        <w:rPr>
          <w:lang w:eastAsia="en-GB"/>
        </w:rPr>
        <w:t xml:space="preserve"> models were specified and estimated using </w:t>
      </w:r>
      <w:proofErr w:type="spellStart"/>
      <w:r w:rsidR="00B06A10" w:rsidRPr="00DE3274">
        <w:rPr>
          <w:lang w:eastAsia="en-GB"/>
        </w:rPr>
        <w:t>Mplus</w:t>
      </w:r>
      <w:proofErr w:type="spellEnd"/>
      <w:r w:rsidR="00B06A10" w:rsidRPr="00DE3274">
        <w:rPr>
          <w:lang w:eastAsia="en-GB"/>
        </w:rPr>
        <w:t xml:space="preserve"> 8.1 (</w:t>
      </w:r>
      <w:proofErr w:type="spellStart"/>
      <w:r w:rsidR="006D5231" w:rsidRPr="00DE3274">
        <w:t>Muthén</w:t>
      </w:r>
      <w:proofErr w:type="spellEnd"/>
      <w:r w:rsidR="006D5231" w:rsidRPr="00DE3274">
        <w:t xml:space="preserve">, &amp; </w:t>
      </w:r>
      <w:proofErr w:type="spellStart"/>
      <w:r w:rsidR="006D5231" w:rsidRPr="00DE3274">
        <w:t>Muthén</w:t>
      </w:r>
      <w:proofErr w:type="spellEnd"/>
      <w:r w:rsidR="006D5231" w:rsidRPr="00DE3274">
        <w:t xml:space="preserve">, 2018) </w:t>
      </w:r>
      <w:r w:rsidR="00B06A10" w:rsidRPr="00DE3274">
        <w:rPr>
          <w:lang w:eastAsia="en-GB"/>
        </w:rPr>
        <w:t>using robust maximum l</w:t>
      </w:r>
      <w:r w:rsidR="002E5AE6" w:rsidRPr="00DE3274">
        <w:rPr>
          <w:lang w:eastAsia="en-GB"/>
        </w:rPr>
        <w:t>ikelihood</w:t>
      </w:r>
      <w:r w:rsidR="00B06A10" w:rsidRPr="00DE3274">
        <w:rPr>
          <w:lang w:eastAsia="en-GB"/>
        </w:rPr>
        <w:t>.</w:t>
      </w:r>
      <w:r w:rsidR="006D5231" w:rsidRPr="00DE3274">
        <w:rPr>
          <w:lang w:eastAsia="en-GB"/>
        </w:rPr>
        <w:t xml:space="preserve"> </w:t>
      </w:r>
    </w:p>
    <w:p w14:paraId="193EDF1D" w14:textId="77777777" w:rsidR="00067092" w:rsidRPr="00DE3274" w:rsidRDefault="00067092" w:rsidP="00EA489E">
      <w:pPr>
        <w:spacing w:line="360" w:lineRule="auto"/>
        <w:rPr>
          <w:lang w:eastAsia="en-GB"/>
        </w:rPr>
      </w:pPr>
    </w:p>
    <w:p w14:paraId="200C82BB" w14:textId="4919EE3E" w:rsidR="00713E9A" w:rsidRPr="00DE3274" w:rsidRDefault="00713E9A" w:rsidP="00764892">
      <w:pPr>
        <w:spacing w:line="360" w:lineRule="auto"/>
        <w:jc w:val="center"/>
        <w:rPr>
          <w:lang w:eastAsia="en-GB"/>
        </w:rPr>
      </w:pPr>
      <w:r w:rsidRPr="00DE3274">
        <w:rPr>
          <w:b/>
          <w:lang w:eastAsia="en-GB"/>
        </w:rPr>
        <w:t>Results</w:t>
      </w:r>
    </w:p>
    <w:p w14:paraId="3015B631" w14:textId="53452E42" w:rsidR="00C13DDC" w:rsidRPr="00DE3274" w:rsidRDefault="00067092" w:rsidP="00EA489E">
      <w:pPr>
        <w:spacing w:line="360" w:lineRule="auto"/>
        <w:rPr>
          <w:lang w:eastAsia="en-GB"/>
        </w:rPr>
      </w:pPr>
      <w:r w:rsidRPr="00DE3274">
        <w:rPr>
          <w:lang w:eastAsia="en-GB"/>
        </w:rPr>
        <w:t xml:space="preserve">Descriptive statistics for all the study variables are presented in Table 1.  </w:t>
      </w:r>
      <w:r w:rsidR="00A00E03" w:rsidRPr="00DE3274">
        <w:rPr>
          <w:lang w:eastAsia="en-GB"/>
        </w:rPr>
        <w:t xml:space="preserve">The income bands were approximately equal </w:t>
      </w:r>
      <w:r w:rsidR="00C13DDC" w:rsidRPr="00DE3274">
        <w:t>(£0 - 15,490 per year (n=410, 20.2%); £15,491 - £25,340 per year, (n=410, 20.2%); £25,341 - £38,740 per year, n=385, 19.0%; £38,741 - £57,930 per year, (n=410, 20.2%); £57,931 or more per year, (n=410, (20.2%))</w:t>
      </w:r>
      <w:r w:rsidR="00713E9A" w:rsidRPr="00DE3274">
        <w:t>.</w:t>
      </w:r>
    </w:p>
    <w:p w14:paraId="5465CF34" w14:textId="6A98B12B" w:rsidR="00067092" w:rsidRPr="00DE3274" w:rsidRDefault="00067092" w:rsidP="00EA489E">
      <w:pPr>
        <w:spacing w:line="360" w:lineRule="auto"/>
        <w:rPr>
          <w:lang w:eastAsia="en-GB"/>
        </w:rPr>
      </w:pPr>
    </w:p>
    <w:p w14:paraId="7BE1CF75" w14:textId="65468643" w:rsidR="00713E9A" w:rsidRPr="00DE3274" w:rsidRDefault="00713E9A" w:rsidP="00EA489E">
      <w:pPr>
        <w:spacing w:line="360" w:lineRule="auto"/>
        <w:jc w:val="center"/>
        <w:rPr>
          <w:lang w:eastAsia="en-GB"/>
        </w:rPr>
      </w:pPr>
      <w:r w:rsidRPr="00DE3274">
        <w:rPr>
          <w:lang w:eastAsia="en-GB"/>
        </w:rPr>
        <w:t>Table 1 about here</w:t>
      </w:r>
    </w:p>
    <w:p w14:paraId="10D5108C" w14:textId="77777777" w:rsidR="007C6EBE" w:rsidRPr="00DE3274" w:rsidRDefault="007C6EBE" w:rsidP="00EA489E">
      <w:pPr>
        <w:spacing w:line="360" w:lineRule="auto"/>
        <w:rPr>
          <w:lang w:eastAsia="en-GB"/>
        </w:rPr>
      </w:pPr>
    </w:p>
    <w:p w14:paraId="692758D0" w14:textId="37CA358F" w:rsidR="00067092" w:rsidRDefault="007C6EBE" w:rsidP="00EA489E">
      <w:pPr>
        <w:spacing w:line="360" w:lineRule="auto"/>
      </w:pPr>
      <w:r w:rsidRPr="00DE3274">
        <w:rPr>
          <w:lang w:eastAsia="en-GB"/>
        </w:rPr>
        <w:t>COVID-19 anxiety was positively correlated with all</w:t>
      </w:r>
      <w:r w:rsidR="00777104">
        <w:rPr>
          <w:lang w:eastAsia="en-GB"/>
        </w:rPr>
        <w:t xml:space="preserve"> of</w:t>
      </w:r>
      <w:r w:rsidRPr="00DE3274">
        <w:rPr>
          <w:lang w:eastAsia="en-GB"/>
        </w:rPr>
        <w:t xml:space="preserve"> the somatic symptom subscales and</w:t>
      </w:r>
      <w:r w:rsidR="00F6113B" w:rsidRPr="00DE3274">
        <w:rPr>
          <w:lang w:eastAsia="en-GB"/>
        </w:rPr>
        <w:t xml:space="preserve"> the</w:t>
      </w:r>
      <w:r w:rsidRPr="00DE3274">
        <w:rPr>
          <w:lang w:eastAsia="en-GB"/>
        </w:rPr>
        <w:t xml:space="preserve"> total scale score. The somatic symptom subscales</w:t>
      </w:r>
      <w:r w:rsidR="00DE7692" w:rsidRPr="00DE3274">
        <w:rPr>
          <w:lang w:eastAsia="en-GB"/>
        </w:rPr>
        <w:t xml:space="preserve"> were all highly and positively correlated with each other, and the correlations with</w:t>
      </w:r>
      <w:r w:rsidR="009A6E29">
        <w:rPr>
          <w:lang w:eastAsia="en-GB"/>
        </w:rPr>
        <w:t xml:space="preserve"> GAD</w:t>
      </w:r>
      <w:r w:rsidR="00DE7692" w:rsidRPr="00DE3274">
        <w:rPr>
          <w:lang w:eastAsia="en-GB"/>
        </w:rPr>
        <w:t xml:space="preserve"> were higher than for the </w:t>
      </w:r>
      <w:r w:rsidR="00FE2239">
        <w:rPr>
          <w:lang w:eastAsia="en-GB"/>
        </w:rPr>
        <w:t>COVID</w:t>
      </w:r>
      <w:r w:rsidR="009A6E29">
        <w:rPr>
          <w:lang w:eastAsia="en-GB"/>
        </w:rPr>
        <w:t>-19</w:t>
      </w:r>
      <w:r w:rsidR="00FE2239">
        <w:rPr>
          <w:lang w:eastAsia="en-GB"/>
        </w:rPr>
        <w:t xml:space="preserve"> anxiety</w:t>
      </w:r>
      <w:r w:rsidR="009A6E29">
        <w:rPr>
          <w:lang w:eastAsia="en-GB"/>
        </w:rPr>
        <w:t xml:space="preserve"> scores</w:t>
      </w:r>
      <w:r w:rsidR="00777104">
        <w:rPr>
          <w:lang w:eastAsia="en-GB"/>
        </w:rPr>
        <w:t xml:space="preserve"> (see Table 1)</w:t>
      </w:r>
      <w:r w:rsidR="00DE7692" w:rsidRPr="00DE3274">
        <w:rPr>
          <w:lang w:eastAsia="en-GB"/>
        </w:rPr>
        <w:t>.</w:t>
      </w:r>
      <w:r w:rsidR="005C7EBC">
        <w:rPr>
          <w:lang w:eastAsia="en-GB"/>
        </w:rPr>
        <w:t xml:space="preserve"> </w:t>
      </w:r>
      <w:r w:rsidR="00777104" w:rsidRPr="00DE3274">
        <w:rPr>
          <w:lang w:eastAsia="en-GB"/>
        </w:rPr>
        <w:t>Table 2 shows the estimates from the regression models.</w:t>
      </w:r>
      <w:r w:rsidR="00777104">
        <w:rPr>
          <w:lang w:eastAsia="en-GB"/>
        </w:rPr>
        <w:t xml:space="preserve"> </w:t>
      </w:r>
      <w:r w:rsidR="00EA51CD" w:rsidRPr="00DE3274">
        <w:rPr>
          <w:lang w:eastAsia="en-GB"/>
        </w:rPr>
        <w:t xml:space="preserve">A significant proportion of variance was explained in </w:t>
      </w:r>
      <w:r w:rsidR="00777104">
        <w:rPr>
          <w:lang w:eastAsia="en-GB"/>
        </w:rPr>
        <w:t>each of the</w:t>
      </w:r>
      <w:r w:rsidR="00777104" w:rsidRPr="00DE3274">
        <w:rPr>
          <w:lang w:eastAsia="en-GB"/>
        </w:rPr>
        <w:t xml:space="preserve"> </w:t>
      </w:r>
      <w:r w:rsidR="00EA51CD" w:rsidRPr="00DE3274">
        <w:rPr>
          <w:lang w:eastAsia="en-GB"/>
        </w:rPr>
        <w:t xml:space="preserve">somatic symptom subscales with the exception of </w:t>
      </w:r>
      <w:r w:rsidR="005A246F" w:rsidRPr="00DE3274">
        <w:t>cardiopulmonary</w:t>
      </w:r>
      <w:r w:rsidR="008C01E6" w:rsidRPr="00DE3274">
        <w:t xml:space="preserve"> symptoms. A similar pattern of results emerged across all subscales and the total scale score</w:t>
      </w:r>
      <w:r w:rsidR="00777104">
        <w:t>: T</w:t>
      </w:r>
      <w:r w:rsidR="008C01E6" w:rsidRPr="00DE3274">
        <w:t>he effects for quintiles 2 to 4 were significant</w:t>
      </w:r>
      <w:r w:rsidR="004948E1">
        <w:t>,</w:t>
      </w:r>
      <w:r w:rsidR="008C01E6" w:rsidRPr="00DE3274">
        <w:t xml:space="preserve"> </w:t>
      </w:r>
      <w:r w:rsidR="006842EC" w:rsidRPr="00DE3274">
        <w:t xml:space="preserve">but the magnitude was small </w:t>
      </w:r>
      <w:r w:rsidR="008C01E6" w:rsidRPr="00DE3274">
        <w:t xml:space="preserve">compared to the </w:t>
      </w:r>
      <w:r w:rsidR="006842EC" w:rsidRPr="00DE3274">
        <w:t xml:space="preserve">effects </w:t>
      </w:r>
      <w:r w:rsidR="005A246F" w:rsidRPr="00DE3274">
        <w:t>for the 5</w:t>
      </w:r>
      <w:r w:rsidR="005A246F" w:rsidRPr="00DE3274">
        <w:rPr>
          <w:vertAlign w:val="superscript"/>
        </w:rPr>
        <w:t>th</w:t>
      </w:r>
      <w:r w:rsidR="005A246F" w:rsidRPr="00DE3274">
        <w:t xml:space="preserve"> quintile</w:t>
      </w:r>
      <w:r w:rsidR="006842EC" w:rsidRPr="00DE3274">
        <w:t xml:space="preserve">. Rather than a linear </w:t>
      </w:r>
      <w:r w:rsidR="006842EC" w:rsidRPr="00DE3274">
        <w:lastRenderedPageBreak/>
        <w:t>increase</w:t>
      </w:r>
      <w:r w:rsidR="00F6113B" w:rsidRPr="00DE3274">
        <w:t>,</w:t>
      </w:r>
      <w:r w:rsidR="006842EC" w:rsidRPr="00DE3274">
        <w:t xml:space="preserve"> there appears to be an increase in quintiles 2, 3 and 4 </w:t>
      </w:r>
      <w:r w:rsidR="00621178" w:rsidRPr="00DE3274">
        <w:t>compared to</w:t>
      </w:r>
      <w:r w:rsidR="006842EC" w:rsidRPr="00DE3274">
        <w:t xml:space="preserve"> the first quintile, and then a much larger effect for the 5</w:t>
      </w:r>
      <w:r w:rsidR="006842EC" w:rsidRPr="00DE3274">
        <w:rPr>
          <w:vertAlign w:val="superscript"/>
        </w:rPr>
        <w:t>th</w:t>
      </w:r>
      <w:r w:rsidR="006842EC" w:rsidRPr="00DE3274">
        <w:t xml:space="preserve"> quintile.  </w:t>
      </w:r>
      <w:r w:rsidR="00621178" w:rsidRPr="00DE3274">
        <w:rPr>
          <w:lang w:eastAsia="en-GB"/>
        </w:rPr>
        <w:t xml:space="preserve">For Model 2 that included the control variables, the pattern of results for </w:t>
      </w:r>
      <w:r w:rsidR="00EA0A2B" w:rsidRPr="00DE3274">
        <w:rPr>
          <w:lang w:eastAsia="en-GB"/>
        </w:rPr>
        <w:t xml:space="preserve">COVID-19 anxiety </w:t>
      </w:r>
      <w:r w:rsidR="00621178" w:rsidRPr="00DE3274">
        <w:rPr>
          <w:lang w:eastAsia="en-GB"/>
        </w:rPr>
        <w:t>was</w:t>
      </w:r>
      <w:r w:rsidR="00EA0A2B" w:rsidRPr="00DE3274">
        <w:rPr>
          <w:lang w:eastAsia="en-GB"/>
        </w:rPr>
        <w:t xml:space="preserve"> similar albeit the magnitude of the effects </w:t>
      </w:r>
      <w:r w:rsidR="00F6113B" w:rsidRPr="00DE3274">
        <w:rPr>
          <w:lang w:eastAsia="en-GB"/>
        </w:rPr>
        <w:t>was</w:t>
      </w:r>
      <w:r w:rsidR="00EA0A2B" w:rsidRPr="00DE3274">
        <w:rPr>
          <w:lang w:eastAsia="en-GB"/>
        </w:rPr>
        <w:t>, expectedly, attenuated.</w:t>
      </w:r>
      <w:r w:rsidR="00621178" w:rsidRPr="00DE3274">
        <w:rPr>
          <w:lang w:eastAsia="en-GB"/>
        </w:rPr>
        <w:t xml:space="preserve"> </w:t>
      </w:r>
      <w:r w:rsidR="00EA0A2B" w:rsidRPr="00DE3274">
        <w:rPr>
          <w:lang w:eastAsia="en-GB"/>
        </w:rPr>
        <w:t xml:space="preserve">The estimates for </w:t>
      </w:r>
      <w:r w:rsidR="00EA0A2B" w:rsidRPr="00DE3274">
        <w:t>the 5</w:t>
      </w:r>
      <w:r w:rsidR="00EA0A2B" w:rsidRPr="00DE3274">
        <w:rPr>
          <w:vertAlign w:val="superscript"/>
        </w:rPr>
        <w:t>th</w:t>
      </w:r>
      <w:r w:rsidR="00EA0A2B" w:rsidRPr="00DE3274">
        <w:t xml:space="preserve"> quintile all remained statistically significant. </w:t>
      </w:r>
      <w:r w:rsidR="00827213">
        <w:t xml:space="preserve">The effects for </w:t>
      </w:r>
      <w:r w:rsidR="00827213" w:rsidRPr="00DE3274">
        <w:t>GAD-7</w:t>
      </w:r>
      <w:r w:rsidR="00827213">
        <w:t xml:space="preserve"> were all large, positive and statistically significant.</w:t>
      </w:r>
    </w:p>
    <w:p w14:paraId="418C2797" w14:textId="77777777" w:rsidR="00777104" w:rsidRDefault="00777104" w:rsidP="00777104">
      <w:pPr>
        <w:spacing w:line="360" w:lineRule="auto"/>
        <w:jc w:val="center"/>
        <w:rPr>
          <w:lang w:eastAsia="en-GB"/>
        </w:rPr>
      </w:pPr>
    </w:p>
    <w:p w14:paraId="48529DFA" w14:textId="7CA78452" w:rsidR="00777104" w:rsidRPr="00DE3274" w:rsidRDefault="00777104" w:rsidP="00764892">
      <w:pPr>
        <w:spacing w:line="360" w:lineRule="auto"/>
        <w:jc w:val="center"/>
        <w:rPr>
          <w:lang w:eastAsia="en-GB"/>
        </w:rPr>
      </w:pPr>
      <w:r w:rsidRPr="00DE3274">
        <w:rPr>
          <w:lang w:eastAsia="en-GB"/>
        </w:rPr>
        <w:t>Table 2 about here</w:t>
      </w:r>
    </w:p>
    <w:p w14:paraId="2587183A" w14:textId="77777777" w:rsidR="00067092" w:rsidRPr="00DE3274" w:rsidRDefault="00067092" w:rsidP="00EA489E">
      <w:pPr>
        <w:spacing w:line="360" w:lineRule="auto"/>
        <w:rPr>
          <w:lang w:eastAsia="en-GB"/>
        </w:rPr>
      </w:pPr>
    </w:p>
    <w:p w14:paraId="7092800B" w14:textId="37ED9049" w:rsidR="006870B3" w:rsidRPr="00DE3274" w:rsidRDefault="006870B3" w:rsidP="00764892">
      <w:pPr>
        <w:jc w:val="center"/>
      </w:pPr>
      <w:r w:rsidRPr="00DE3274">
        <w:rPr>
          <w:b/>
        </w:rPr>
        <w:t>Discussion</w:t>
      </w:r>
    </w:p>
    <w:p w14:paraId="27498ED6" w14:textId="2515B236" w:rsidR="00BC0EBF" w:rsidRDefault="006870B3" w:rsidP="006870B3">
      <w:pPr>
        <w:spacing w:before="240" w:after="240" w:line="360" w:lineRule="auto"/>
        <w:rPr>
          <w:lang w:eastAsia="en-GB"/>
        </w:rPr>
      </w:pPr>
      <w:r w:rsidRPr="00DE3274">
        <w:t xml:space="preserve">This study </w:t>
      </w:r>
      <w:r w:rsidR="009A6E29">
        <w:t>sought</w:t>
      </w:r>
      <w:r w:rsidR="009A6E29" w:rsidRPr="00DE3274">
        <w:t xml:space="preserve"> </w:t>
      </w:r>
      <w:r w:rsidRPr="00DE3274">
        <w:t xml:space="preserve">to determine if self-reported COVID-19 anxiety levels </w:t>
      </w:r>
      <w:r w:rsidR="009A6E29">
        <w:t>were</w:t>
      </w:r>
      <w:r w:rsidR="009A6E29" w:rsidRPr="00DE3274">
        <w:t xml:space="preserve"> </w:t>
      </w:r>
      <w:r w:rsidRPr="00DE3274">
        <w:t>associated with increase</w:t>
      </w:r>
      <w:r w:rsidR="009A6E29">
        <w:t>d</w:t>
      </w:r>
      <w:r w:rsidRPr="00DE3274">
        <w:t xml:space="preserve"> somatic symptoms </w:t>
      </w:r>
      <w:r w:rsidR="009A6E29">
        <w:t>with</w:t>
      </w:r>
      <w:r w:rsidRPr="00DE3274">
        <w:t xml:space="preserve">in a representative </w:t>
      </w:r>
      <w:r w:rsidR="009A6E29">
        <w:t xml:space="preserve">sample of the </w:t>
      </w:r>
      <w:r w:rsidRPr="00DE3274">
        <w:t xml:space="preserve">UK adult population. </w:t>
      </w:r>
      <w:r w:rsidR="009A6E29">
        <w:rPr>
          <w:lang w:eastAsia="en-GB"/>
        </w:rPr>
        <w:t>Our</w:t>
      </w:r>
      <w:r w:rsidRPr="00DE3274">
        <w:rPr>
          <w:lang w:eastAsia="en-GB"/>
        </w:rPr>
        <w:t xml:space="preserve"> findings </w:t>
      </w:r>
      <w:r w:rsidR="009A6E29">
        <w:rPr>
          <w:lang w:eastAsia="en-GB"/>
        </w:rPr>
        <w:t>indicated</w:t>
      </w:r>
      <w:r w:rsidR="009A6E29" w:rsidRPr="00DE3274">
        <w:rPr>
          <w:lang w:eastAsia="en-GB"/>
        </w:rPr>
        <w:t xml:space="preserve"> </w:t>
      </w:r>
      <w:r w:rsidRPr="00DE3274">
        <w:rPr>
          <w:lang w:eastAsia="en-GB"/>
        </w:rPr>
        <w:t>that</w:t>
      </w:r>
      <w:r w:rsidR="009A6E29">
        <w:rPr>
          <w:lang w:eastAsia="en-GB"/>
        </w:rPr>
        <w:t xml:space="preserve"> having COVID-19 anxiety scores </w:t>
      </w:r>
      <w:r w:rsidR="0033653D">
        <w:rPr>
          <w:lang w:eastAsia="en-GB"/>
        </w:rPr>
        <w:t>in the 2</w:t>
      </w:r>
      <w:r w:rsidR="0033653D">
        <w:rPr>
          <w:vertAlign w:val="superscript"/>
          <w:lang w:eastAsia="en-GB"/>
        </w:rPr>
        <w:t>n</w:t>
      </w:r>
      <w:r w:rsidRPr="00DE3274">
        <w:rPr>
          <w:vertAlign w:val="superscript"/>
          <w:lang w:eastAsia="en-GB"/>
        </w:rPr>
        <w:t>d</w:t>
      </w:r>
      <w:r w:rsidRPr="00DE3274">
        <w:rPr>
          <w:lang w:eastAsia="en-GB"/>
        </w:rPr>
        <w:t xml:space="preserve"> or higher quintile </w:t>
      </w:r>
      <w:r w:rsidR="009A6E29">
        <w:rPr>
          <w:lang w:eastAsia="en-GB"/>
        </w:rPr>
        <w:t>was</w:t>
      </w:r>
      <w:r w:rsidRPr="00DE3274">
        <w:rPr>
          <w:lang w:eastAsia="en-GB"/>
        </w:rPr>
        <w:t xml:space="preserve"> associated with increased somatic symptoms</w:t>
      </w:r>
      <w:r w:rsidR="009A6E29">
        <w:rPr>
          <w:lang w:eastAsia="en-GB"/>
        </w:rPr>
        <w:t xml:space="preserve">, </w:t>
      </w:r>
      <w:r w:rsidRPr="00DE3274">
        <w:rPr>
          <w:lang w:eastAsia="en-GB"/>
        </w:rPr>
        <w:t>suggest</w:t>
      </w:r>
      <w:r w:rsidR="009A6E29">
        <w:rPr>
          <w:lang w:eastAsia="en-GB"/>
        </w:rPr>
        <w:t>ing</w:t>
      </w:r>
      <w:r w:rsidRPr="00DE3274">
        <w:rPr>
          <w:lang w:eastAsia="en-GB"/>
        </w:rPr>
        <w:t xml:space="preserve"> a threshold above which the chances of experiencing somatic symptoms is greatly enhanced.</w:t>
      </w:r>
      <w:r w:rsidR="00D7562C" w:rsidRPr="00DE3274">
        <w:rPr>
          <w:lang w:eastAsia="en-GB"/>
        </w:rPr>
        <w:t xml:space="preserve"> </w:t>
      </w:r>
      <w:r w:rsidR="00BC0EBF">
        <w:rPr>
          <w:lang w:eastAsia="en-GB"/>
        </w:rPr>
        <w:t>When adjusted for all other covariates, t</w:t>
      </w:r>
      <w:r w:rsidRPr="00DE3274">
        <w:rPr>
          <w:lang w:eastAsia="en-GB"/>
        </w:rPr>
        <w:t>he highest quintile of CO</w:t>
      </w:r>
      <w:r w:rsidR="008D10D6">
        <w:rPr>
          <w:lang w:eastAsia="en-GB"/>
        </w:rPr>
        <w:t>V</w:t>
      </w:r>
      <w:r w:rsidRPr="00DE3274">
        <w:rPr>
          <w:lang w:eastAsia="en-GB"/>
        </w:rPr>
        <w:t xml:space="preserve">ID-19 anxiety </w:t>
      </w:r>
      <w:r w:rsidR="00BC0EBF">
        <w:rPr>
          <w:lang w:eastAsia="en-GB"/>
        </w:rPr>
        <w:t>remained</w:t>
      </w:r>
      <w:r w:rsidR="00BC0EBF" w:rsidRPr="00DE3274">
        <w:rPr>
          <w:lang w:eastAsia="en-GB"/>
        </w:rPr>
        <w:t xml:space="preserve"> </w:t>
      </w:r>
      <w:r w:rsidRPr="00DE3274">
        <w:rPr>
          <w:lang w:eastAsia="en-GB"/>
        </w:rPr>
        <w:t>significant</w:t>
      </w:r>
      <w:r w:rsidR="00BC0EBF">
        <w:rPr>
          <w:lang w:eastAsia="en-GB"/>
        </w:rPr>
        <w:t>ly</w:t>
      </w:r>
      <w:r w:rsidRPr="00DE3274">
        <w:rPr>
          <w:lang w:eastAsia="en-GB"/>
        </w:rPr>
        <w:t xml:space="preserve"> and </w:t>
      </w:r>
      <w:r w:rsidR="00BC0EBF">
        <w:rPr>
          <w:lang w:eastAsia="en-GB"/>
        </w:rPr>
        <w:t>strongly associated</w:t>
      </w:r>
      <w:r w:rsidRPr="00DE3274">
        <w:rPr>
          <w:lang w:eastAsia="en-GB"/>
        </w:rPr>
        <w:t xml:space="preserve"> </w:t>
      </w:r>
      <w:r w:rsidR="00BC0EBF">
        <w:rPr>
          <w:lang w:eastAsia="en-GB"/>
        </w:rPr>
        <w:t>with</w:t>
      </w:r>
      <w:r w:rsidRPr="00DE3274">
        <w:rPr>
          <w:lang w:eastAsia="en-GB"/>
        </w:rPr>
        <w:t xml:space="preserve"> all somatic symptoms</w:t>
      </w:r>
      <w:r w:rsidR="00BC0EBF">
        <w:rPr>
          <w:lang w:eastAsia="en-GB"/>
        </w:rPr>
        <w:t>,</w:t>
      </w:r>
      <w:r w:rsidRPr="00DE3274">
        <w:rPr>
          <w:lang w:eastAsia="en-GB"/>
        </w:rPr>
        <w:t xml:space="preserve"> </w:t>
      </w:r>
      <w:r w:rsidR="00320E81" w:rsidRPr="00DE3274">
        <w:rPr>
          <w:lang w:eastAsia="en-GB"/>
        </w:rPr>
        <w:t>except</w:t>
      </w:r>
      <w:r w:rsidRPr="00DE3274">
        <w:rPr>
          <w:lang w:eastAsia="en-GB"/>
        </w:rPr>
        <w:t xml:space="preserve"> cardiopulmonary</w:t>
      </w:r>
      <w:r w:rsidR="00BC0EBF">
        <w:rPr>
          <w:lang w:eastAsia="en-GB"/>
        </w:rPr>
        <w:t xml:space="preserve"> symptoms</w:t>
      </w:r>
      <w:r w:rsidRPr="00DE3274">
        <w:rPr>
          <w:lang w:eastAsia="en-GB"/>
        </w:rPr>
        <w:t xml:space="preserve">. The strongest association was </w:t>
      </w:r>
      <w:r w:rsidR="00BC0EBF">
        <w:rPr>
          <w:lang w:eastAsia="en-GB"/>
        </w:rPr>
        <w:t>with the</w:t>
      </w:r>
      <w:r w:rsidRPr="00DE3274">
        <w:rPr>
          <w:lang w:eastAsia="en-GB"/>
        </w:rPr>
        <w:t xml:space="preserve"> fatigue</w:t>
      </w:r>
      <w:r w:rsidR="00BC0EBF">
        <w:rPr>
          <w:lang w:eastAsia="en-GB"/>
        </w:rPr>
        <w:t xml:space="preserve"> subscale of the PHQ-15</w:t>
      </w:r>
      <w:r w:rsidRPr="00DE3274">
        <w:rPr>
          <w:lang w:eastAsia="en-GB"/>
        </w:rPr>
        <w:t>.</w:t>
      </w:r>
      <w:r w:rsidR="00BC0EBF">
        <w:rPr>
          <w:lang w:eastAsia="en-GB"/>
        </w:rPr>
        <w:t xml:space="preserve"> </w:t>
      </w:r>
    </w:p>
    <w:p w14:paraId="267D50B1" w14:textId="58224CC7" w:rsidR="006870B3" w:rsidRPr="00DE3274" w:rsidRDefault="00441263" w:rsidP="006870B3">
      <w:pPr>
        <w:spacing w:before="240" w:after="240" w:line="360" w:lineRule="auto"/>
        <w:rPr>
          <w:lang w:eastAsia="en-GB"/>
        </w:rPr>
      </w:pPr>
      <w:r>
        <w:rPr>
          <w:lang w:eastAsia="en-GB"/>
        </w:rPr>
        <w:t>T</w:t>
      </w:r>
      <w:r w:rsidR="00BC0EBF">
        <w:rPr>
          <w:lang w:eastAsia="en-GB"/>
        </w:rPr>
        <w:t>hat</w:t>
      </w:r>
      <w:r w:rsidR="006870B3" w:rsidRPr="00DE3274">
        <w:rPr>
          <w:lang w:eastAsia="en-GB"/>
        </w:rPr>
        <w:t xml:space="preserve"> the</w:t>
      </w:r>
      <w:r w:rsidR="00BC0EBF">
        <w:rPr>
          <w:lang w:eastAsia="en-GB"/>
        </w:rPr>
        <w:t xml:space="preserve"> effect for COVID-19 anxiety </w:t>
      </w:r>
      <w:r w:rsidR="006870B3" w:rsidRPr="00DE3274">
        <w:rPr>
          <w:lang w:eastAsia="en-GB"/>
        </w:rPr>
        <w:t xml:space="preserve">remained </w:t>
      </w:r>
      <w:r w:rsidR="00BC0EBF">
        <w:rPr>
          <w:lang w:eastAsia="en-GB"/>
        </w:rPr>
        <w:t>even</w:t>
      </w:r>
      <w:r w:rsidR="00BC0EBF" w:rsidRPr="00DE3274">
        <w:rPr>
          <w:lang w:eastAsia="en-GB"/>
        </w:rPr>
        <w:t xml:space="preserve"> </w:t>
      </w:r>
      <w:r w:rsidR="006870B3" w:rsidRPr="00DE3274">
        <w:rPr>
          <w:lang w:eastAsia="en-GB"/>
        </w:rPr>
        <w:t xml:space="preserve">when controlling for </w:t>
      </w:r>
      <w:r w:rsidR="00BC0EBF">
        <w:rPr>
          <w:lang w:eastAsia="en-GB"/>
        </w:rPr>
        <w:t xml:space="preserve">screening positive for </w:t>
      </w:r>
      <w:r w:rsidR="006870B3" w:rsidRPr="00DE3274">
        <w:rPr>
          <w:lang w:eastAsia="en-GB"/>
        </w:rPr>
        <w:t>GAD</w:t>
      </w:r>
      <w:r w:rsidR="00BC0EBF">
        <w:rPr>
          <w:lang w:eastAsia="en-GB"/>
        </w:rPr>
        <w:t xml:space="preserve"> is an important discovery because it suggests that the anxiety that people are experiencing because of this pandemic is a unique contributor to the somatic problems that they are suffering from</w:t>
      </w:r>
      <w:r w:rsidR="006870B3" w:rsidRPr="00DE3274">
        <w:rPr>
          <w:lang w:eastAsia="en-GB"/>
        </w:rPr>
        <w:t>.</w:t>
      </w:r>
      <w:r w:rsidR="00BC0EBF">
        <w:rPr>
          <w:lang w:eastAsia="en-GB"/>
        </w:rPr>
        <w:t xml:space="preserve"> </w:t>
      </w:r>
      <w:r w:rsidR="00BC0EBF" w:rsidRPr="00DE3274">
        <w:rPr>
          <w:lang w:eastAsia="en-GB"/>
        </w:rPr>
        <w:t xml:space="preserve">There is, therefore, potential for additional strain on health service providers if individuals seek help for these complaints. A public health message </w:t>
      </w:r>
      <w:r w:rsidR="00BC0EBF">
        <w:rPr>
          <w:lang w:eastAsia="en-GB"/>
        </w:rPr>
        <w:t>that explains to the public</w:t>
      </w:r>
      <w:r w:rsidR="00BC0EBF" w:rsidRPr="00DE3274">
        <w:rPr>
          <w:lang w:eastAsia="en-GB"/>
        </w:rPr>
        <w:t xml:space="preserve"> that</w:t>
      </w:r>
      <w:r w:rsidR="00BC0EBF">
        <w:rPr>
          <w:lang w:eastAsia="en-GB"/>
        </w:rPr>
        <w:t xml:space="preserve"> the</w:t>
      </w:r>
      <w:r w:rsidR="00BC0EBF" w:rsidRPr="00DE3274">
        <w:rPr>
          <w:lang w:eastAsia="en-GB"/>
        </w:rPr>
        <w:t xml:space="preserve"> stress, worry, and anxiety</w:t>
      </w:r>
      <w:r w:rsidR="00BC0EBF">
        <w:rPr>
          <w:lang w:eastAsia="en-GB"/>
        </w:rPr>
        <w:t xml:space="preserve"> they are feeling</w:t>
      </w:r>
      <w:r w:rsidR="00BC0EBF" w:rsidRPr="00DE3274">
        <w:rPr>
          <w:lang w:eastAsia="en-GB"/>
        </w:rPr>
        <w:t xml:space="preserve"> about the current pandemic can manifest in increased levels of physical/somatic problems</w:t>
      </w:r>
      <w:r w:rsidR="00BC0EBF">
        <w:rPr>
          <w:lang w:eastAsia="en-GB"/>
        </w:rPr>
        <w:t xml:space="preserve">, particularly fatigue, pain and </w:t>
      </w:r>
      <w:r w:rsidR="00BC0EBF" w:rsidRPr="00DE3274">
        <w:rPr>
          <w:lang w:eastAsia="en-GB"/>
        </w:rPr>
        <w:t>gastrointestinal discomfort</w:t>
      </w:r>
      <w:r w:rsidR="002E4D7C">
        <w:rPr>
          <w:lang w:eastAsia="en-GB"/>
        </w:rPr>
        <w:t>,</w:t>
      </w:r>
      <w:r w:rsidR="00BC0EBF">
        <w:rPr>
          <w:lang w:eastAsia="en-GB"/>
        </w:rPr>
        <w:t xml:space="preserve"> </w:t>
      </w:r>
      <w:r w:rsidR="00BC0EBF" w:rsidRPr="00DE3274">
        <w:rPr>
          <w:lang w:eastAsia="en-GB"/>
        </w:rPr>
        <w:t xml:space="preserve">may be helpful in alleviating unnecessary worry among </w:t>
      </w:r>
      <w:r w:rsidR="00BC0EBF">
        <w:rPr>
          <w:lang w:eastAsia="en-GB"/>
        </w:rPr>
        <w:t>the public</w:t>
      </w:r>
      <w:r w:rsidR="00BC0EBF" w:rsidRPr="00DE3274">
        <w:rPr>
          <w:lang w:eastAsia="en-GB"/>
        </w:rPr>
        <w:t xml:space="preserve"> and reducing strain on the health system during this crisis situation. Of course, any such</w:t>
      </w:r>
      <w:r w:rsidR="00BC0EBF">
        <w:rPr>
          <w:lang w:eastAsia="en-GB"/>
        </w:rPr>
        <w:t xml:space="preserve"> public health message</w:t>
      </w:r>
      <w:r w:rsidR="00BC0EBF" w:rsidRPr="00DE3274">
        <w:rPr>
          <w:lang w:eastAsia="en-GB"/>
        </w:rPr>
        <w:t xml:space="preserve"> must also stress that individuals with </w:t>
      </w:r>
      <w:r w:rsidR="003A1411">
        <w:rPr>
          <w:lang w:eastAsia="en-GB"/>
        </w:rPr>
        <w:t>pre-</w:t>
      </w:r>
      <w:r w:rsidR="00BC0EBF" w:rsidRPr="00DE3274">
        <w:rPr>
          <w:lang w:eastAsia="en-GB"/>
        </w:rPr>
        <w:t>existing health problems</w:t>
      </w:r>
      <w:r w:rsidR="00810AFB">
        <w:rPr>
          <w:lang w:eastAsia="en-GB"/>
        </w:rPr>
        <w:t>,</w:t>
      </w:r>
      <w:r w:rsidR="0060461B">
        <w:rPr>
          <w:lang w:eastAsia="en-GB"/>
        </w:rPr>
        <w:t xml:space="preserve"> particularly those experiencing cardiopulmonary problems as these symptoms were unrelated to COVID-19 anxiety and may be related to other life-threatening conditions</w:t>
      </w:r>
      <w:r w:rsidR="00810AFB">
        <w:rPr>
          <w:lang w:eastAsia="en-GB"/>
        </w:rPr>
        <w:t>,</w:t>
      </w:r>
      <w:r w:rsidR="00BC0EBF" w:rsidRPr="00DE3274">
        <w:rPr>
          <w:lang w:eastAsia="en-GB"/>
        </w:rPr>
        <w:t xml:space="preserve"> should seek appropriate medical care if their physiological symptoms </w:t>
      </w:r>
      <w:r w:rsidR="0060461B">
        <w:rPr>
          <w:lang w:eastAsia="en-GB"/>
        </w:rPr>
        <w:t>change in any way</w:t>
      </w:r>
      <w:r w:rsidR="00BC0EBF" w:rsidRPr="00DE3274">
        <w:rPr>
          <w:lang w:eastAsia="en-GB"/>
        </w:rPr>
        <w:t xml:space="preserve">. </w:t>
      </w:r>
      <w:r w:rsidR="0060461B">
        <w:rPr>
          <w:lang w:eastAsia="en-GB"/>
        </w:rPr>
        <w:t>Furthermore, these findings suggest there may be value in</w:t>
      </w:r>
      <w:r w:rsidR="00BC0EBF" w:rsidRPr="00DE3274">
        <w:rPr>
          <w:lang w:eastAsia="en-GB"/>
        </w:rPr>
        <w:t xml:space="preserve"> implementing psychological measures</w:t>
      </w:r>
      <w:r w:rsidR="0060461B">
        <w:rPr>
          <w:lang w:eastAsia="en-GB"/>
        </w:rPr>
        <w:t xml:space="preserve"> of COVID-19 anxiety</w:t>
      </w:r>
      <w:r w:rsidR="00BC0EBF" w:rsidRPr="00DE3274">
        <w:rPr>
          <w:lang w:eastAsia="en-GB"/>
        </w:rPr>
        <w:t xml:space="preserve"> in primary care facilities</w:t>
      </w:r>
      <w:r w:rsidR="0060461B">
        <w:rPr>
          <w:lang w:eastAsia="en-GB"/>
        </w:rPr>
        <w:t xml:space="preserve"> for those presenting with non-specific and possibly psychosomatic problems</w:t>
      </w:r>
      <w:r w:rsidR="00BC0EBF" w:rsidRPr="00DE3274">
        <w:rPr>
          <w:lang w:eastAsia="en-GB"/>
        </w:rPr>
        <w:t>.</w:t>
      </w:r>
    </w:p>
    <w:p w14:paraId="3A1A2906" w14:textId="36E864D5" w:rsidR="006870B3" w:rsidRPr="00DE3274" w:rsidRDefault="006870B3" w:rsidP="006870B3">
      <w:pPr>
        <w:spacing w:before="240" w:after="240" w:line="360" w:lineRule="auto"/>
        <w:rPr>
          <w:lang w:eastAsia="en-GB"/>
        </w:rPr>
      </w:pPr>
      <w:r w:rsidRPr="00DE3274">
        <w:rPr>
          <w:lang w:eastAsia="en-GB"/>
        </w:rPr>
        <w:lastRenderedPageBreak/>
        <w:t xml:space="preserve">This study had some limitations. First, our measure of COVID-19 anxiety has not been previously validated. Second, the temporal ordering of the variables cannot be established, and so the potential problem of reverse causation cannot be ignored. Third, the PHQ-15 subscales include a relatively small number of items, and </w:t>
      </w:r>
      <w:r w:rsidR="007676D9">
        <w:rPr>
          <w:lang w:eastAsia="en-GB"/>
        </w:rPr>
        <w:t>this</w:t>
      </w:r>
      <w:r w:rsidRPr="00DE3274">
        <w:rPr>
          <w:lang w:eastAsia="en-GB"/>
        </w:rPr>
        <w:t xml:space="preserve"> limits the variability of the scale scores. This may </w:t>
      </w:r>
      <w:r w:rsidR="00BC0EBF">
        <w:rPr>
          <w:lang w:eastAsia="en-GB"/>
        </w:rPr>
        <w:t xml:space="preserve">have </w:t>
      </w:r>
      <w:r w:rsidRPr="00DE3274">
        <w:rPr>
          <w:lang w:eastAsia="en-GB"/>
        </w:rPr>
        <w:t>result</w:t>
      </w:r>
      <w:r w:rsidR="00BC0EBF">
        <w:rPr>
          <w:lang w:eastAsia="en-GB"/>
        </w:rPr>
        <w:t>ed</w:t>
      </w:r>
      <w:r w:rsidRPr="00DE3274">
        <w:rPr>
          <w:lang w:eastAsia="en-GB"/>
        </w:rPr>
        <w:t xml:space="preserve"> in attenuated correlations and regression coefficients. </w:t>
      </w:r>
    </w:p>
    <w:p w14:paraId="11240EB8" w14:textId="1ACD4B91" w:rsidR="00594A35" w:rsidRPr="00DE3274" w:rsidRDefault="00EA489E" w:rsidP="00EA489E">
      <w:pPr>
        <w:spacing w:before="240" w:after="240" w:line="360" w:lineRule="auto"/>
        <w:rPr>
          <w:lang w:eastAsia="en-GB"/>
        </w:rPr>
      </w:pPr>
      <w:r w:rsidRPr="00DE3274">
        <w:rPr>
          <w:lang w:eastAsia="en-GB"/>
        </w:rPr>
        <w:br w:type="page"/>
      </w:r>
      <w:r w:rsidR="00594A35" w:rsidRPr="00DE3274">
        <w:rPr>
          <w:lang w:eastAsia="en-GB"/>
        </w:rPr>
        <w:lastRenderedPageBreak/>
        <w:t>References:</w:t>
      </w:r>
    </w:p>
    <w:p w14:paraId="61CB3C0A" w14:textId="0C71007F" w:rsidR="0038045F" w:rsidRPr="0038045F" w:rsidRDefault="0038045F" w:rsidP="0033653D">
      <w:pPr>
        <w:spacing w:line="360" w:lineRule="auto"/>
        <w:ind w:left="567" w:hanging="567"/>
        <w:rPr>
          <w:lang w:eastAsia="en-GB"/>
        </w:rPr>
      </w:pPr>
      <w:r w:rsidRPr="0038045F">
        <w:rPr>
          <w:lang w:eastAsia="en-GB"/>
        </w:rPr>
        <w:t>Cano-García, F. J., Muñoz-Navarro, R., Abad, A. S., Moretti, L. S., Medrano, L. A., Ruiz-Rodríguez, P., ... &amp; Cano-</w:t>
      </w:r>
      <w:proofErr w:type="spellStart"/>
      <w:r w:rsidRPr="0038045F">
        <w:rPr>
          <w:lang w:eastAsia="en-GB"/>
        </w:rPr>
        <w:t>Vindel</w:t>
      </w:r>
      <w:proofErr w:type="spellEnd"/>
      <w:r w:rsidRPr="0038045F">
        <w:rPr>
          <w:lang w:eastAsia="en-GB"/>
        </w:rPr>
        <w:t xml:space="preserve">, A. (2020). Latent structure and factor invariance of somatic symptoms in the patient health questionnaire (PHQ-15). </w:t>
      </w:r>
      <w:r w:rsidRPr="0038045F">
        <w:rPr>
          <w:i/>
          <w:iCs/>
          <w:lang w:eastAsia="en-GB"/>
        </w:rPr>
        <w:t>Journal of affective disorders</w:t>
      </w:r>
      <w:r w:rsidRPr="0038045F">
        <w:rPr>
          <w:lang w:eastAsia="en-GB"/>
        </w:rPr>
        <w:t xml:space="preserve">, </w:t>
      </w:r>
      <w:r w:rsidRPr="0038045F">
        <w:rPr>
          <w:i/>
          <w:iCs/>
          <w:lang w:eastAsia="en-GB"/>
        </w:rPr>
        <w:t>261</w:t>
      </w:r>
      <w:r w:rsidRPr="0038045F">
        <w:rPr>
          <w:lang w:eastAsia="en-GB"/>
        </w:rPr>
        <w:t>, 21-29.</w:t>
      </w:r>
    </w:p>
    <w:p w14:paraId="592308A4" w14:textId="77777777" w:rsidR="00940ED4" w:rsidRPr="00DE3274" w:rsidRDefault="00940ED4" w:rsidP="00940ED4">
      <w:pPr>
        <w:spacing w:before="240" w:after="240" w:line="360" w:lineRule="auto"/>
        <w:ind w:left="567" w:hanging="567"/>
        <w:rPr>
          <w:lang w:eastAsia="en-GB"/>
        </w:rPr>
      </w:pPr>
      <w:proofErr w:type="spellStart"/>
      <w:r w:rsidRPr="00DE3274">
        <w:rPr>
          <w:lang w:eastAsia="en-GB"/>
        </w:rPr>
        <w:t>Haug</w:t>
      </w:r>
      <w:proofErr w:type="spellEnd"/>
      <w:r w:rsidRPr="00DE3274">
        <w:rPr>
          <w:lang w:eastAsia="en-GB"/>
        </w:rPr>
        <w:t xml:space="preserve">, T. T., </w:t>
      </w:r>
      <w:proofErr w:type="spellStart"/>
      <w:r w:rsidRPr="00DE3274">
        <w:rPr>
          <w:lang w:eastAsia="en-GB"/>
        </w:rPr>
        <w:t>Mykletun</w:t>
      </w:r>
      <w:proofErr w:type="spellEnd"/>
      <w:r w:rsidRPr="00DE3274">
        <w:rPr>
          <w:lang w:eastAsia="en-GB"/>
        </w:rPr>
        <w:t xml:space="preserve">, A., &amp; Dahl, A. A. (2004). </w:t>
      </w:r>
      <w:r w:rsidRPr="00DE3274">
        <w:rPr>
          <w:iCs/>
          <w:lang w:eastAsia="en-GB"/>
        </w:rPr>
        <w:t>The Association Between Anxiety, Depression, and Somatic Symptoms in a Large Population: The HUNT-II Study. Psychosomatic Medicine, 66(6), 845–851.</w:t>
      </w:r>
      <w:r w:rsidRPr="00DE3274">
        <w:rPr>
          <w:lang w:eastAsia="en-GB"/>
        </w:rPr>
        <w:t xml:space="preserve"> doi:10.1097/01.psy.0000145823.85658.0c </w:t>
      </w:r>
    </w:p>
    <w:p w14:paraId="23C0F2C5" w14:textId="77777777" w:rsidR="00506AA1" w:rsidRPr="00DE3274" w:rsidRDefault="00506AA1" w:rsidP="0038045F">
      <w:pPr>
        <w:spacing w:line="360" w:lineRule="auto"/>
        <w:ind w:left="567" w:hanging="567"/>
        <w:rPr>
          <w:shd w:val="clear" w:color="auto" w:fill="FFFFFF"/>
          <w:lang w:eastAsia="en-GB"/>
        </w:rPr>
      </w:pPr>
      <w:proofErr w:type="spellStart"/>
      <w:r w:rsidRPr="00DE3274">
        <w:rPr>
          <w:shd w:val="clear" w:color="auto" w:fill="FFFFFF"/>
          <w:lang w:eastAsia="en-GB"/>
        </w:rPr>
        <w:t>Hawryluck</w:t>
      </w:r>
      <w:proofErr w:type="spellEnd"/>
      <w:r w:rsidRPr="00DE3274">
        <w:rPr>
          <w:shd w:val="clear" w:color="auto" w:fill="FFFFFF"/>
          <w:lang w:eastAsia="en-GB"/>
        </w:rPr>
        <w:t xml:space="preserve">, L., Gold, W. L., Robinson, S., </w:t>
      </w:r>
      <w:proofErr w:type="spellStart"/>
      <w:r w:rsidRPr="00DE3274">
        <w:rPr>
          <w:shd w:val="clear" w:color="auto" w:fill="FFFFFF"/>
          <w:lang w:eastAsia="en-GB"/>
        </w:rPr>
        <w:t>Pogorski</w:t>
      </w:r>
      <w:proofErr w:type="spellEnd"/>
      <w:r w:rsidRPr="00DE3274">
        <w:rPr>
          <w:shd w:val="clear" w:color="auto" w:fill="FFFFFF"/>
          <w:lang w:eastAsia="en-GB"/>
        </w:rPr>
        <w:t xml:space="preserve">, S., Galea, S., &amp; </w:t>
      </w:r>
      <w:proofErr w:type="spellStart"/>
      <w:r w:rsidRPr="00DE3274">
        <w:rPr>
          <w:shd w:val="clear" w:color="auto" w:fill="FFFFFF"/>
          <w:lang w:eastAsia="en-GB"/>
        </w:rPr>
        <w:t>Styra</w:t>
      </w:r>
      <w:proofErr w:type="spellEnd"/>
      <w:r w:rsidRPr="00DE3274">
        <w:rPr>
          <w:shd w:val="clear" w:color="auto" w:fill="FFFFFF"/>
          <w:lang w:eastAsia="en-GB"/>
        </w:rPr>
        <w:t xml:space="preserve">, R. (2004). SARS control and psychological effects of quarantine, Toronto, Canada. </w:t>
      </w:r>
      <w:r w:rsidRPr="00DE3274">
        <w:rPr>
          <w:iCs/>
          <w:shd w:val="clear" w:color="auto" w:fill="FFFFFF"/>
          <w:lang w:eastAsia="en-GB"/>
        </w:rPr>
        <w:t>Emerging Infectious Diseases</w:t>
      </w:r>
      <w:r w:rsidRPr="00DE3274">
        <w:rPr>
          <w:shd w:val="clear" w:color="auto" w:fill="FFFFFF"/>
          <w:lang w:eastAsia="en-GB"/>
        </w:rPr>
        <w:t xml:space="preserve">, </w:t>
      </w:r>
      <w:r w:rsidRPr="00DE3274">
        <w:rPr>
          <w:iCs/>
          <w:shd w:val="clear" w:color="auto" w:fill="FFFFFF"/>
          <w:lang w:eastAsia="en-GB"/>
        </w:rPr>
        <w:t xml:space="preserve">10 </w:t>
      </w:r>
      <w:r w:rsidRPr="00DE3274">
        <w:rPr>
          <w:shd w:val="clear" w:color="auto" w:fill="FFFFFF"/>
          <w:lang w:eastAsia="en-GB"/>
        </w:rPr>
        <w:t>(7), 1206.</w:t>
      </w:r>
    </w:p>
    <w:p w14:paraId="558F5A4A" w14:textId="77777777" w:rsidR="00506AA1" w:rsidRPr="00DE3274" w:rsidRDefault="00506AA1" w:rsidP="00506AA1">
      <w:pPr>
        <w:spacing w:before="240" w:after="240" w:line="360" w:lineRule="auto"/>
        <w:ind w:left="567" w:hanging="567"/>
        <w:rPr>
          <w:lang w:eastAsia="en-GB"/>
        </w:rPr>
      </w:pPr>
      <w:proofErr w:type="spellStart"/>
      <w:r w:rsidRPr="00DE3274">
        <w:rPr>
          <w:shd w:val="clear" w:color="auto" w:fill="FFFFFF"/>
        </w:rPr>
        <w:t>Hinz</w:t>
      </w:r>
      <w:proofErr w:type="spellEnd"/>
      <w:r w:rsidRPr="00DE3274">
        <w:rPr>
          <w:shd w:val="clear" w:color="auto" w:fill="FFFFFF"/>
        </w:rPr>
        <w:t xml:space="preserve">, A., Ernst, J., </w:t>
      </w:r>
      <w:proofErr w:type="spellStart"/>
      <w:r w:rsidRPr="00DE3274">
        <w:rPr>
          <w:shd w:val="clear" w:color="auto" w:fill="FFFFFF"/>
        </w:rPr>
        <w:t>Glaesmer</w:t>
      </w:r>
      <w:proofErr w:type="spellEnd"/>
      <w:r w:rsidRPr="00DE3274">
        <w:rPr>
          <w:shd w:val="clear" w:color="auto" w:fill="FFFFFF"/>
        </w:rPr>
        <w:t xml:space="preserve">, H., </w:t>
      </w:r>
      <w:proofErr w:type="spellStart"/>
      <w:r w:rsidRPr="00DE3274">
        <w:rPr>
          <w:shd w:val="clear" w:color="auto" w:fill="FFFFFF"/>
        </w:rPr>
        <w:t>Brähler</w:t>
      </w:r>
      <w:proofErr w:type="spellEnd"/>
      <w:r w:rsidRPr="00DE3274">
        <w:rPr>
          <w:shd w:val="clear" w:color="auto" w:fill="FFFFFF"/>
        </w:rPr>
        <w:t xml:space="preserve">, E., Rauscher, F. G., </w:t>
      </w:r>
      <w:proofErr w:type="spellStart"/>
      <w:r w:rsidRPr="00DE3274">
        <w:rPr>
          <w:shd w:val="clear" w:color="auto" w:fill="FFFFFF"/>
        </w:rPr>
        <w:t>Petrowski</w:t>
      </w:r>
      <w:proofErr w:type="spellEnd"/>
      <w:r w:rsidRPr="00DE3274">
        <w:rPr>
          <w:shd w:val="clear" w:color="auto" w:fill="FFFFFF"/>
        </w:rPr>
        <w:t xml:space="preserve">, K., &amp; </w:t>
      </w:r>
      <w:proofErr w:type="spellStart"/>
      <w:r w:rsidRPr="00DE3274">
        <w:rPr>
          <w:shd w:val="clear" w:color="auto" w:fill="FFFFFF"/>
        </w:rPr>
        <w:t>Kocalevent</w:t>
      </w:r>
      <w:proofErr w:type="spellEnd"/>
      <w:r w:rsidRPr="00DE3274">
        <w:rPr>
          <w:shd w:val="clear" w:color="auto" w:fill="FFFFFF"/>
        </w:rPr>
        <w:t>, R. D. (2017). Frequency of somatic symptoms in the general population: Normative values for the Patient Health Questionnaire-15 (PHQ-15). </w:t>
      </w:r>
      <w:r w:rsidRPr="00DE3274">
        <w:rPr>
          <w:iCs/>
          <w:shd w:val="clear" w:color="auto" w:fill="FFFFFF"/>
        </w:rPr>
        <w:t>Journal of psychosomatic research</w:t>
      </w:r>
      <w:r w:rsidRPr="00DE3274">
        <w:rPr>
          <w:shd w:val="clear" w:color="auto" w:fill="FFFFFF"/>
        </w:rPr>
        <w:t>, </w:t>
      </w:r>
      <w:r w:rsidRPr="00DE3274">
        <w:rPr>
          <w:iCs/>
          <w:shd w:val="clear" w:color="auto" w:fill="FFFFFF"/>
        </w:rPr>
        <w:t>96</w:t>
      </w:r>
      <w:r w:rsidRPr="00DE3274">
        <w:rPr>
          <w:shd w:val="clear" w:color="auto" w:fill="FFFFFF"/>
        </w:rPr>
        <w:t>, 27-31.</w:t>
      </w:r>
    </w:p>
    <w:p w14:paraId="7787B53A" w14:textId="77777777" w:rsidR="00506AA1" w:rsidRPr="00DE3274" w:rsidRDefault="00506AA1" w:rsidP="00506AA1">
      <w:pPr>
        <w:spacing w:line="360" w:lineRule="auto"/>
        <w:ind w:left="567" w:hanging="567"/>
        <w:rPr>
          <w:shd w:val="clear" w:color="auto" w:fill="FFFFFF"/>
        </w:rPr>
      </w:pPr>
      <w:r w:rsidRPr="00DE3274">
        <w:rPr>
          <w:shd w:val="clear" w:color="auto" w:fill="FFFFFF"/>
        </w:rPr>
        <w:t>Huang, Y., &amp; Zhao, N. (2020). Generalized anxiety disorder, depressive symptoms and sleep quality during COVID-19 outbreak in China: a web-based cross-sectional survey. </w:t>
      </w:r>
      <w:r w:rsidRPr="00DE3274">
        <w:rPr>
          <w:iCs/>
          <w:shd w:val="clear" w:color="auto" w:fill="FFFFFF"/>
        </w:rPr>
        <w:t>Psychiatry Research</w:t>
      </w:r>
      <w:r w:rsidRPr="00DE3274">
        <w:rPr>
          <w:shd w:val="clear" w:color="auto" w:fill="FFFFFF"/>
        </w:rPr>
        <w:t>, 112954. Advance online publication. https://doi.org/10.1016/j.psychres.2020.112954</w:t>
      </w:r>
    </w:p>
    <w:p w14:paraId="2C4064F0" w14:textId="77777777" w:rsidR="00506AA1" w:rsidRPr="00DE3274" w:rsidRDefault="00506AA1" w:rsidP="00506AA1">
      <w:pPr>
        <w:spacing w:before="240" w:after="240" w:line="360" w:lineRule="auto"/>
        <w:ind w:left="567" w:hanging="567"/>
        <w:rPr>
          <w:shd w:val="clear" w:color="auto" w:fill="FFFFFF"/>
        </w:rPr>
      </w:pPr>
      <w:r w:rsidRPr="00DE3274">
        <w:rPr>
          <w:color w:val="222222"/>
          <w:shd w:val="clear" w:color="auto" w:fill="FFFFFF"/>
        </w:rPr>
        <w:t>Kroenke, K., Spitzer, R. L., &amp; Williams, J. B. (2002). The PHQ-15: validity of a new measure for evaluating the severity of somatic symptoms. </w:t>
      </w:r>
      <w:r w:rsidRPr="00DE3274">
        <w:rPr>
          <w:iCs/>
          <w:color w:val="222222"/>
          <w:shd w:val="clear" w:color="auto" w:fill="FFFFFF"/>
        </w:rPr>
        <w:t>Psychosomatic medicine</w:t>
      </w:r>
      <w:r w:rsidRPr="00DE3274">
        <w:rPr>
          <w:color w:val="222222"/>
          <w:shd w:val="clear" w:color="auto" w:fill="FFFFFF"/>
        </w:rPr>
        <w:t>, </w:t>
      </w:r>
      <w:r w:rsidRPr="00DE3274">
        <w:rPr>
          <w:iCs/>
          <w:color w:val="222222"/>
          <w:shd w:val="clear" w:color="auto" w:fill="FFFFFF"/>
        </w:rPr>
        <w:t>64</w:t>
      </w:r>
      <w:r w:rsidRPr="00DE3274">
        <w:rPr>
          <w:color w:val="222222"/>
          <w:shd w:val="clear" w:color="auto" w:fill="FFFFFF"/>
        </w:rPr>
        <w:t>(2), 258-266.</w:t>
      </w:r>
    </w:p>
    <w:p w14:paraId="4EB56516" w14:textId="5D7E3D62" w:rsidR="00810AFB" w:rsidRDefault="0012350D" w:rsidP="00506AA1">
      <w:pPr>
        <w:spacing w:line="360" w:lineRule="auto"/>
        <w:ind w:left="567" w:hanging="567"/>
      </w:pPr>
      <w:r w:rsidRPr="0012350D">
        <w:t xml:space="preserve">McBride, O., Murphy, J., Shevlin, M., Gibson Miller, J., Hartman, T.K., Hyland, P. </w:t>
      </w:r>
      <w:proofErr w:type="spellStart"/>
      <w:r w:rsidRPr="0012350D">
        <w:t>Levita</w:t>
      </w:r>
      <w:proofErr w:type="spellEnd"/>
      <w:r w:rsidRPr="0012350D">
        <w:t>, L., Mason, L., Martinez, A.P. Stocks, V.A., Bennett, K.M. &amp; Bentall, R.P. (2020).Monitoring the psychological impact of the COVID-19 pandemic in the general population: an overview of the context, design and conduct of the COVID-19 Psychological Research Consortium (C19PRC) Study. In preparation.</w:t>
      </w:r>
      <w:r>
        <w:t xml:space="preserve"> Available from </w:t>
      </w:r>
      <w:r w:rsidRPr="00810AFB">
        <w:rPr>
          <w:rFonts w:ascii="inherit" w:hAnsi="inherit"/>
          <w:bdr w:val="none" w:sz="0" w:space="0" w:color="auto" w:frame="1"/>
        </w:rPr>
        <w:t>https://psyarxiv.com/wxe2n</w:t>
      </w:r>
      <w:r w:rsidRPr="0012350D">
        <w:t xml:space="preserve"> </w:t>
      </w:r>
    </w:p>
    <w:p w14:paraId="1C13332B" w14:textId="1FF3E718" w:rsidR="00506AA1" w:rsidRPr="00DE3274" w:rsidRDefault="00506AA1" w:rsidP="00506AA1">
      <w:pPr>
        <w:spacing w:line="360" w:lineRule="auto"/>
        <w:ind w:left="567" w:hanging="567"/>
      </w:pPr>
      <w:proofErr w:type="spellStart"/>
      <w:r w:rsidRPr="00DE3274">
        <w:lastRenderedPageBreak/>
        <w:t>Muthén</w:t>
      </w:r>
      <w:proofErr w:type="spellEnd"/>
      <w:r w:rsidRPr="00DE3274">
        <w:t xml:space="preserve">, L. K., &amp; </w:t>
      </w:r>
      <w:proofErr w:type="spellStart"/>
      <w:r w:rsidRPr="00DE3274">
        <w:t>Muthén</w:t>
      </w:r>
      <w:proofErr w:type="spellEnd"/>
      <w:r w:rsidRPr="00DE3274">
        <w:t xml:space="preserve">, B. O. (2018). Mplus User's Guide. Eighth Edition. Los Angeles, CA: </w:t>
      </w:r>
      <w:proofErr w:type="spellStart"/>
      <w:r w:rsidRPr="00DE3274">
        <w:t>Muthén</w:t>
      </w:r>
      <w:proofErr w:type="spellEnd"/>
      <w:r w:rsidRPr="00DE3274">
        <w:t xml:space="preserve"> &amp; </w:t>
      </w:r>
      <w:proofErr w:type="spellStart"/>
      <w:r w:rsidRPr="00DE3274">
        <w:t>Muthén</w:t>
      </w:r>
      <w:proofErr w:type="spellEnd"/>
      <w:r w:rsidRPr="00DE3274">
        <w:t>.</w:t>
      </w:r>
    </w:p>
    <w:p w14:paraId="1222545F" w14:textId="2D52B468" w:rsidR="00506AA1" w:rsidRPr="00DE3274" w:rsidRDefault="0012350D" w:rsidP="0012350D">
      <w:pPr>
        <w:spacing w:before="240" w:after="240" w:line="360" w:lineRule="auto"/>
        <w:ind w:left="567" w:hanging="567"/>
        <w:rPr>
          <w:lang w:eastAsia="en-GB"/>
        </w:rPr>
      </w:pPr>
      <w:r w:rsidRPr="0012350D">
        <w:rPr>
          <w:lang w:eastAsia="en-GB"/>
        </w:rPr>
        <w:t xml:space="preserve">Shevlin, M., McBride, O., Murphy, J., Shevlin, M., Gibson Miller, J., Hartman, T.K., </w:t>
      </w:r>
      <w:proofErr w:type="spellStart"/>
      <w:r w:rsidRPr="0012350D">
        <w:rPr>
          <w:lang w:eastAsia="en-GB"/>
        </w:rPr>
        <w:t>Levita</w:t>
      </w:r>
      <w:proofErr w:type="spellEnd"/>
      <w:r w:rsidRPr="0012350D">
        <w:rPr>
          <w:lang w:eastAsia="en-GB"/>
        </w:rPr>
        <w:t xml:space="preserve">, L., Mason, L., Martinez, A.P. Stocks, V.A., Bennett, K.M., Hyland, P., </w:t>
      </w:r>
      <w:proofErr w:type="spellStart"/>
      <w:r w:rsidRPr="0012350D">
        <w:rPr>
          <w:lang w:eastAsia="en-GB"/>
        </w:rPr>
        <w:t>Karatzias</w:t>
      </w:r>
      <w:proofErr w:type="spellEnd"/>
      <w:r w:rsidRPr="0012350D">
        <w:rPr>
          <w:lang w:eastAsia="en-GB"/>
        </w:rPr>
        <w:t>, T., &amp; Bentall, R.P. (2020).</w:t>
      </w:r>
      <w:r>
        <w:rPr>
          <w:lang w:eastAsia="en-GB"/>
        </w:rPr>
        <w:t xml:space="preserve"> </w:t>
      </w:r>
      <w:r w:rsidRPr="0012350D">
        <w:rPr>
          <w:lang w:eastAsia="en-GB"/>
        </w:rPr>
        <w:t xml:space="preserve">Anxiety, Depression, Traumatic Stress, and COVID-19 Related Anxiety in the UK General Population During the COVID-19 Pandemic. </w:t>
      </w:r>
      <w:r>
        <w:rPr>
          <w:lang w:eastAsia="en-GB"/>
        </w:rPr>
        <w:t xml:space="preserve">In preparation. Available from </w:t>
      </w:r>
      <w:r w:rsidRPr="00810AFB">
        <w:rPr>
          <w:rFonts w:ascii="inherit" w:hAnsi="inherit"/>
          <w:bdr w:val="none" w:sz="0" w:space="0" w:color="auto" w:frame="1"/>
        </w:rPr>
        <w:t>https://psyarxiv.com/hb6nq</w:t>
      </w:r>
      <w:r>
        <w:t xml:space="preserve">. </w:t>
      </w:r>
    </w:p>
    <w:p w14:paraId="1E86FFD8" w14:textId="77777777" w:rsidR="00637FE8" w:rsidRPr="00DE3274" w:rsidRDefault="00506AA1" w:rsidP="00506AA1">
      <w:pPr>
        <w:spacing w:line="360" w:lineRule="auto"/>
        <w:ind w:left="567" w:hanging="567"/>
        <w:rPr>
          <w:shd w:val="clear" w:color="auto" w:fill="FFFFFF"/>
          <w:lang w:eastAsia="en-GB"/>
        </w:rPr>
      </w:pPr>
      <w:r w:rsidRPr="00DE3274">
        <w:rPr>
          <w:shd w:val="clear" w:color="auto" w:fill="FFFFFF"/>
          <w:lang w:eastAsia="en-GB"/>
        </w:rPr>
        <w:t xml:space="preserve">Wang, C., Pan, R., Wan, X., Tan, Y., Xu, L., Ho, C. S., &amp; Ho, R. C. (2020). Immediate psychological responses and associated factors during the initial stage of the 2019 coronavirus disease (COVID-19) epidemic among the general population in China. </w:t>
      </w:r>
      <w:r w:rsidRPr="00DE3274">
        <w:rPr>
          <w:iCs/>
          <w:shd w:val="clear" w:color="auto" w:fill="FFFFFF"/>
          <w:lang w:eastAsia="en-GB"/>
        </w:rPr>
        <w:t>International journal of environmental research and public health</w:t>
      </w:r>
      <w:r w:rsidRPr="00DE3274">
        <w:rPr>
          <w:shd w:val="clear" w:color="auto" w:fill="FFFFFF"/>
          <w:lang w:eastAsia="en-GB"/>
        </w:rPr>
        <w:t xml:space="preserve">, </w:t>
      </w:r>
      <w:r w:rsidRPr="00DE3274">
        <w:rPr>
          <w:iCs/>
          <w:shd w:val="clear" w:color="auto" w:fill="FFFFFF"/>
          <w:lang w:eastAsia="en-GB"/>
        </w:rPr>
        <w:t>17</w:t>
      </w:r>
      <w:r w:rsidRPr="00DE3274">
        <w:rPr>
          <w:shd w:val="clear" w:color="auto" w:fill="FFFFFF"/>
          <w:lang w:eastAsia="en-GB"/>
        </w:rPr>
        <w:t>(5), 1729.</w:t>
      </w:r>
    </w:p>
    <w:p w14:paraId="3559CBA5" w14:textId="77777777" w:rsidR="003C67D2" w:rsidRPr="00DE3274" w:rsidRDefault="003C67D2" w:rsidP="003C67D2">
      <w:pPr>
        <w:spacing w:line="360" w:lineRule="auto"/>
        <w:ind w:left="567" w:hanging="567"/>
      </w:pPr>
      <w:r w:rsidRPr="00DE3274">
        <w:rPr>
          <w:shd w:val="clear" w:color="auto" w:fill="FFFFFF"/>
          <w:lang w:eastAsia="en-GB"/>
        </w:rPr>
        <w:t xml:space="preserve">Wang, Y., &amp; Zhao, M. (2020). Comparison of the Indicators of Psychological Stress in the Population of Hubei Province and Non-Endemic Provinces in China During Two Weeks During the Coronavirus Disease 2019 (COVID-19) Outbreak in February 2020. </w:t>
      </w:r>
      <w:r w:rsidRPr="00DE3274">
        <w:rPr>
          <w:iCs/>
          <w:shd w:val="clear" w:color="auto" w:fill="FFFFFF"/>
          <w:lang w:eastAsia="en-GB"/>
        </w:rPr>
        <w:t>Medical Science Monitor</w:t>
      </w:r>
      <w:r w:rsidRPr="00DE3274">
        <w:rPr>
          <w:shd w:val="clear" w:color="auto" w:fill="FFFFFF"/>
          <w:lang w:eastAsia="en-GB"/>
        </w:rPr>
        <w:t xml:space="preserve">, </w:t>
      </w:r>
      <w:r w:rsidRPr="00DE3274">
        <w:rPr>
          <w:iCs/>
          <w:shd w:val="clear" w:color="auto" w:fill="FFFFFF"/>
          <w:lang w:eastAsia="en-GB"/>
        </w:rPr>
        <w:t>26</w:t>
      </w:r>
      <w:r w:rsidRPr="00DE3274">
        <w:rPr>
          <w:shd w:val="clear" w:color="auto" w:fill="FFFFFF"/>
          <w:lang w:eastAsia="en-GB"/>
        </w:rPr>
        <w:t>.</w:t>
      </w:r>
      <w:r w:rsidRPr="00DE3274">
        <w:t xml:space="preserve"> </w:t>
      </w:r>
    </w:p>
    <w:p w14:paraId="763DBEBA" w14:textId="53BC6CE5" w:rsidR="003C67D2" w:rsidRPr="00DE3274" w:rsidRDefault="003C67D2" w:rsidP="003C67D2">
      <w:pPr>
        <w:spacing w:line="360" w:lineRule="auto"/>
        <w:ind w:left="567" w:hanging="567"/>
        <w:rPr>
          <w:shd w:val="clear" w:color="auto" w:fill="FFFFFF"/>
          <w:lang w:eastAsia="en-GB"/>
        </w:rPr>
      </w:pPr>
      <w:proofErr w:type="spellStart"/>
      <w:r w:rsidRPr="00DE3274">
        <w:t>Witthöft</w:t>
      </w:r>
      <w:proofErr w:type="spellEnd"/>
      <w:r w:rsidRPr="00DE3274">
        <w:t xml:space="preserve">, M., Hiller, W., Loch, N., Jasper, F., 2013. The latent structure of medically unexplained symptoms and its relation to functional somatic syndromes. Int. J. </w:t>
      </w:r>
      <w:proofErr w:type="spellStart"/>
      <w:r w:rsidRPr="00DE3274">
        <w:t>Behav</w:t>
      </w:r>
      <w:proofErr w:type="spellEnd"/>
      <w:r w:rsidRPr="00DE3274">
        <w:t>. Med. 20, 172–183. https://doi.org/10.1007/s12529-012-9237-2.</w:t>
      </w:r>
      <w:r w:rsidRPr="00DE3274">
        <w:rPr>
          <w:shd w:val="clear" w:color="auto" w:fill="FFFFFF"/>
          <w:lang w:eastAsia="en-GB"/>
        </w:rPr>
        <w:t xml:space="preserve"> </w:t>
      </w:r>
    </w:p>
    <w:p w14:paraId="120A822D" w14:textId="77777777" w:rsidR="00637FE8" w:rsidRPr="00DE3274" w:rsidRDefault="00637FE8" w:rsidP="00F1641D">
      <w:pPr>
        <w:spacing w:line="360" w:lineRule="auto"/>
        <w:sectPr w:rsidR="00637FE8" w:rsidRPr="00DE3274" w:rsidSect="00637FE8">
          <w:pgSz w:w="11906" w:h="16838"/>
          <w:pgMar w:top="1440" w:right="1440" w:bottom="1440" w:left="1440" w:header="708" w:footer="708" w:gutter="0"/>
          <w:cols w:space="708"/>
          <w:docGrid w:linePitch="360"/>
        </w:sectPr>
      </w:pPr>
    </w:p>
    <w:tbl>
      <w:tblPr>
        <w:tblStyle w:val="TableGridLight"/>
        <w:tblpPr w:leftFromText="180" w:rightFromText="180" w:vertAnchor="page" w:horzAnchor="margin" w:tblpY="2665"/>
        <w:tblW w:w="13948" w:type="dxa"/>
        <w:tblLayout w:type="fixed"/>
        <w:tblLook w:val="04A0" w:firstRow="1" w:lastRow="0" w:firstColumn="1" w:lastColumn="0" w:noHBand="0" w:noVBand="1"/>
      </w:tblPr>
      <w:tblGrid>
        <w:gridCol w:w="1457"/>
        <w:gridCol w:w="1135"/>
        <w:gridCol w:w="1089"/>
        <w:gridCol w:w="1182"/>
        <w:gridCol w:w="1136"/>
        <w:gridCol w:w="1135"/>
        <w:gridCol w:w="1136"/>
        <w:gridCol w:w="1135"/>
        <w:gridCol w:w="1136"/>
        <w:gridCol w:w="1135"/>
        <w:gridCol w:w="1136"/>
        <w:gridCol w:w="1136"/>
      </w:tblGrid>
      <w:tr w:rsidR="003C67D2" w:rsidRPr="00DE3274" w14:paraId="77C168DA" w14:textId="77777777" w:rsidTr="003C67D2">
        <w:tc>
          <w:tcPr>
            <w:tcW w:w="1457" w:type="dxa"/>
            <w:tcBorders>
              <w:top w:val="single" w:sz="12" w:space="0" w:color="auto"/>
              <w:bottom w:val="single" w:sz="4" w:space="0" w:color="auto"/>
            </w:tcBorders>
          </w:tcPr>
          <w:p w14:paraId="6EF1B53F" w14:textId="77777777" w:rsidR="003C67D2" w:rsidRPr="00DE3274" w:rsidRDefault="003C67D2" w:rsidP="003C67D2"/>
        </w:tc>
        <w:tc>
          <w:tcPr>
            <w:tcW w:w="1135" w:type="dxa"/>
            <w:tcBorders>
              <w:top w:val="single" w:sz="12" w:space="0" w:color="auto"/>
              <w:bottom w:val="single" w:sz="4" w:space="0" w:color="auto"/>
            </w:tcBorders>
          </w:tcPr>
          <w:p w14:paraId="49C31371" w14:textId="77777777" w:rsidR="003C67D2" w:rsidRPr="00DE3274" w:rsidRDefault="003C67D2" w:rsidP="003C67D2">
            <w:r w:rsidRPr="00DE3274">
              <w:t>Age</w:t>
            </w:r>
          </w:p>
        </w:tc>
        <w:tc>
          <w:tcPr>
            <w:tcW w:w="1089" w:type="dxa"/>
            <w:tcBorders>
              <w:top w:val="single" w:sz="12" w:space="0" w:color="auto"/>
              <w:bottom w:val="single" w:sz="4" w:space="0" w:color="auto"/>
            </w:tcBorders>
          </w:tcPr>
          <w:p w14:paraId="5BCDC312" w14:textId="77777777" w:rsidR="003C67D2" w:rsidRPr="00DE3274" w:rsidRDefault="003C67D2" w:rsidP="003C67D2">
            <w:r w:rsidRPr="00DE3274">
              <w:t xml:space="preserve">Gender </w:t>
            </w:r>
          </w:p>
          <w:p w14:paraId="7FC16E64" w14:textId="77777777" w:rsidR="003C67D2" w:rsidRPr="00DE3274" w:rsidRDefault="003C67D2" w:rsidP="003C67D2">
            <w:r w:rsidRPr="00DE3274">
              <w:t xml:space="preserve">(Female)  </w:t>
            </w:r>
          </w:p>
        </w:tc>
        <w:tc>
          <w:tcPr>
            <w:tcW w:w="1182" w:type="dxa"/>
            <w:tcBorders>
              <w:top w:val="single" w:sz="12" w:space="0" w:color="auto"/>
              <w:bottom w:val="single" w:sz="4" w:space="0" w:color="auto"/>
            </w:tcBorders>
          </w:tcPr>
          <w:p w14:paraId="3AB4DEE6" w14:textId="77777777" w:rsidR="003C67D2" w:rsidRPr="00DE3274" w:rsidRDefault="003C67D2" w:rsidP="003C67D2">
            <w:r w:rsidRPr="00DE3274">
              <w:t xml:space="preserve">Income   </w:t>
            </w:r>
          </w:p>
        </w:tc>
        <w:tc>
          <w:tcPr>
            <w:tcW w:w="1136" w:type="dxa"/>
            <w:tcBorders>
              <w:top w:val="single" w:sz="12" w:space="0" w:color="auto"/>
              <w:bottom w:val="single" w:sz="4" w:space="0" w:color="auto"/>
            </w:tcBorders>
          </w:tcPr>
          <w:p w14:paraId="47D7FF09" w14:textId="77777777" w:rsidR="003C67D2" w:rsidRPr="00DE3274" w:rsidRDefault="003C67D2" w:rsidP="003C67D2">
            <w:r w:rsidRPr="00DE3274">
              <w:t>Health Problem</w:t>
            </w:r>
          </w:p>
        </w:tc>
        <w:tc>
          <w:tcPr>
            <w:tcW w:w="1135" w:type="dxa"/>
            <w:tcBorders>
              <w:top w:val="single" w:sz="12" w:space="0" w:color="auto"/>
              <w:bottom w:val="single" w:sz="4" w:space="0" w:color="auto"/>
            </w:tcBorders>
          </w:tcPr>
          <w:p w14:paraId="445FE22C" w14:textId="77777777" w:rsidR="003C67D2" w:rsidRPr="00DE3274" w:rsidRDefault="003C67D2" w:rsidP="003C67D2">
            <w:r w:rsidRPr="00DE3274">
              <w:t xml:space="preserve">GAD-7 </w:t>
            </w:r>
          </w:p>
          <w:p w14:paraId="2D748D06" w14:textId="77777777" w:rsidR="003C67D2" w:rsidRPr="00DE3274" w:rsidRDefault="003C67D2" w:rsidP="003C67D2">
            <w:r w:rsidRPr="00DE3274">
              <w:t xml:space="preserve">≥ 10  </w:t>
            </w:r>
          </w:p>
        </w:tc>
        <w:tc>
          <w:tcPr>
            <w:tcW w:w="1136" w:type="dxa"/>
            <w:tcBorders>
              <w:top w:val="single" w:sz="12" w:space="0" w:color="auto"/>
              <w:bottom w:val="single" w:sz="4" w:space="0" w:color="auto"/>
            </w:tcBorders>
          </w:tcPr>
          <w:p w14:paraId="6B52ED41" w14:textId="77777777" w:rsidR="003C67D2" w:rsidRPr="00DE3274" w:rsidRDefault="003C67D2" w:rsidP="003C67D2">
            <w:r w:rsidRPr="00DE3274">
              <w:t>COVID-19 Anxiety</w:t>
            </w:r>
          </w:p>
        </w:tc>
        <w:tc>
          <w:tcPr>
            <w:tcW w:w="1135" w:type="dxa"/>
            <w:tcBorders>
              <w:top w:val="single" w:sz="12" w:space="0" w:color="auto"/>
              <w:bottom w:val="single" w:sz="4" w:space="0" w:color="auto"/>
            </w:tcBorders>
          </w:tcPr>
          <w:p w14:paraId="6764BACA" w14:textId="77777777" w:rsidR="003C67D2" w:rsidRPr="00DE3274" w:rsidRDefault="003C67D2" w:rsidP="003C67D2">
            <w:r w:rsidRPr="00DE3274">
              <w:t xml:space="preserve">PHQ: Pain     </w:t>
            </w:r>
          </w:p>
        </w:tc>
        <w:tc>
          <w:tcPr>
            <w:tcW w:w="1136" w:type="dxa"/>
            <w:tcBorders>
              <w:top w:val="single" w:sz="12" w:space="0" w:color="auto"/>
              <w:bottom w:val="single" w:sz="4" w:space="0" w:color="auto"/>
            </w:tcBorders>
          </w:tcPr>
          <w:p w14:paraId="1E5ED20B" w14:textId="77777777" w:rsidR="003C67D2" w:rsidRPr="00DE3274" w:rsidRDefault="003C67D2" w:rsidP="003C67D2">
            <w:r w:rsidRPr="00DE3274">
              <w:t>PHQ: Gastro</w:t>
            </w:r>
          </w:p>
        </w:tc>
        <w:tc>
          <w:tcPr>
            <w:tcW w:w="1135" w:type="dxa"/>
            <w:tcBorders>
              <w:top w:val="single" w:sz="12" w:space="0" w:color="auto"/>
              <w:bottom w:val="single" w:sz="4" w:space="0" w:color="auto"/>
            </w:tcBorders>
          </w:tcPr>
          <w:p w14:paraId="36ACB0BC" w14:textId="77777777" w:rsidR="003C67D2" w:rsidRPr="00DE3274" w:rsidRDefault="003C67D2" w:rsidP="003C67D2">
            <w:r w:rsidRPr="00DE3274">
              <w:t>PHQ: Cardio</w:t>
            </w:r>
          </w:p>
        </w:tc>
        <w:tc>
          <w:tcPr>
            <w:tcW w:w="1136" w:type="dxa"/>
            <w:tcBorders>
              <w:top w:val="single" w:sz="12" w:space="0" w:color="auto"/>
              <w:bottom w:val="single" w:sz="4" w:space="0" w:color="auto"/>
            </w:tcBorders>
          </w:tcPr>
          <w:p w14:paraId="1A04F3BE" w14:textId="77777777" w:rsidR="003C67D2" w:rsidRPr="00DE3274" w:rsidRDefault="003C67D2" w:rsidP="003C67D2">
            <w:r w:rsidRPr="00DE3274">
              <w:t>PHQ: Fatigue</w:t>
            </w:r>
          </w:p>
        </w:tc>
        <w:tc>
          <w:tcPr>
            <w:tcW w:w="1136" w:type="dxa"/>
            <w:tcBorders>
              <w:top w:val="single" w:sz="12" w:space="0" w:color="auto"/>
              <w:bottom w:val="single" w:sz="4" w:space="0" w:color="auto"/>
            </w:tcBorders>
          </w:tcPr>
          <w:p w14:paraId="4B077286" w14:textId="77777777" w:rsidR="003C67D2" w:rsidRPr="00DE3274" w:rsidRDefault="003C67D2" w:rsidP="003C67D2">
            <w:r w:rsidRPr="00DE3274">
              <w:t>PHQ total</w:t>
            </w:r>
          </w:p>
        </w:tc>
      </w:tr>
      <w:tr w:rsidR="003C67D2" w:rsidRPr="00DE3274" w14:paraId="73A18C1A" w14:textId="77777777" w:rsidTr="003C67D2">
        <w:tc>
          <w:tcPr>
            <w:tcW w:w="1457" w:type="dxa"/>
            <w:tcBorders>
              <w:top w:val="single" w:sz="4" w:space="0" w:color="auto"/>
            </w:tcBorders>
          </w:tcPr>
          <w:p w14:paraId="51E05BCB" w14:textId="77777777" w:rsidR="003C67D2" w:rsidRPr="00DE3274" w:rsidRDefault="003C67D2" w:rsidP="003C67D2">
            <w:r w:rsidRPr="00DE3274">
              <w:t xml:space="preserve">Gender (Female)  </w:t>
            </w:r>
          </w:p>
        </w:tc>
        <w:tc>
          <w:tcPr>
            <w:tcW w:w="1135" w:type="dxa"/>
            <w:tcBorders>
              <w:top w:val="single" w:sz="4" w:space="0" w:color="auto"/>
            </w:tcBorders>
          </w:tcPr>
          <w:p w14:paraId="272E6A77" w14:textId="77777777" w:rsidR="003C67D2" w:rsidRPr="00DE3274" w:rsidRDefault="003C67D2" w:rsidP="003C67D2">
            <w:r w:rsidRPr="00DE3274">
              <w:t>-.261</w:t>
            </w:r>
            <w:r w:rsidRPr="00DE3274">
              <w:rPr>
                <w:vertAlign w:val="superscript"/>
              </w:rPr>
              <w:t>***</w:t>
            </w:r>
          </w:p>
        </w:tc>
        <w:tc>
          <w:tcPr>
            <w:tcW w:w="1089" w:type="dxa"/>
            <w:tcBorders>
              <w:top w:val="single" w:sz="4" w:space="0" w:color="auto"/>
            </w:tcBorders>
          </w:tcPr>
          <w:p w14:paraId="3AB72A67" w14:textId="77777777" w:rsidR="003C67D2" w:rsidRPr="00DE3274" w:rsidRDefault="003C67D2" w:rsidP="003C67D2"/>
        </w:tc>
        <w:tc>
          <w:tcPr>
            <w:tcW w:w="1182" w:type="dxa"/>
            <w:tcBorders>
              <w:top w:val="single" w:sz="4" w:space="0" w:color="auto"/>
            </w:tcBorders>
          </w:tcPr>
          <w:p w14:paraId="1FE27CB9" w14:textId="77777777" w:rsidR="003C67D2" w:rsidRPr="00DE3274" w:rsidRDefault="003C67D2" w:rsidP="003C67D2"/>
        </w:tc>
        <w:tc>
          <w:tcPr>
            <w:tcW w:w="1136" w:type="dxa"/>
            <w:tcBorders>
              <w:top w:val="single" w:sz="4" w:space="0" w:color="auto"/>
            </w:tcBorders>
          </w:tcPr>
          <w:p w14:paraId="4ED78DBD" w14:textId="77777777" w:rsidR="003C67D2" w:rsidRPr="00DE3274" w:rsidRDefault="003C67D2" w:rsidP="003C67D2"/>
        </w:tc>
        <w:tc>
          <w:tcPr>
            <w:tcW w:w="1135" w:type="dxa"/>
            <w:tcBorders>
              <w:top w:val="single" w:sz="4" w:space="0" w:color="auto"/>
            </w:tcBorders>
          </w:tcPr>
          <w:p w14:paraId="3E655EE8" w14:textId="77777777" w:rsidR="003C67D2" w:rsidRPr="00DE3274" w:rsidRDefault="003C67D2" w:rsidP="003C67D2"/>
        </w:tc>
        <w:tc>
          <w:tcPr>
            <w:tcW w:w="1136" w:type="dxa"/>
            <w:tcBorders>
              <w:top w:val="single" w:sz="4" w:space="0" w:color="auto"/>
            </w:tcBorders>
          </w:tcPr>
          <w:p w14:paraId="51F6BC8D" w14:textId="77777777" w:rsidR="003C67D2" w:rsidRPr="00DE3274" w:rsidRDefault="003C67D2" w:rsidP="003C67D2"/>
        </w:tc>
        <w:tc>
          <w:tcPr>
            <w:tcW w:w="1135" w:type="dxa"/>
            <w:tcBorders>
              <w:top w:val="single" w:sz="4" w:space="0" w:color="auto"/>
            </w:tcBorders>
          </w:tcPr>
          <w:p w14:paraId="01AC5800" w14:textId="77777777" w:rsidR="003C67D2" w:rsidRPr="00DE3274" w:rsidRDefault="003C67D2" w:rsidP="003C67D2"/>
        </w:tc>
        <w:tc>
          <w:tcPr>
            <w:tcW w:w="1136" w:type="dxa"/>
            <w:tcBorders>
              <w:top w:val="single" w:sz="4" w:space="0" w:color="auto"/>
            </w:tcBorders>
          </w:tcPr>
          <w:p w14:paraId="4BB8A542" w14:textId="77777777" w:rsidR="003C67D2" w:rsidRPr="00DE3274" w:rsidRDefault="003C67D2" w:rsidP="003C67D2"/>
        </w:tc>
        <w:tc>
          <w:tcPr>
            <w:tcW w:w="1135" w:type="dxa"/>
            <w:tcBorders>
              <w:top w:val="single" w:sz="4" w:space="0" w:color="auto"/>
            </w:tcBorders>
          </w:tcPr>
          <w:p w14:paraId="05A8A3BC" w14:textId="77777777" w:rsidR="003C67D2" w:rsidRPr="00DE3274" w:rsidRDefault="003C67D2" w:rsidP="003C67D2"/>
        </w:tc>
        <w:tc>
          <w:tcPr>
            <w:tcW w:w="1136" w:type="dxa"/>
            <w:tcBorders>
              <w:top w:val="single" w:sz="4" w:space="0" w:color="auto"/>
            </w:tcBorders>
          </w:tcPr>
          <w:p w14:paraId="319E03BE" w14:textId="77777777" w:rsidR="003C67D2" w:rsidRPr="00DE3274" w:rsidRDefault="003C67D2" w:rsidP="003C67D2"/>
        </w:tc>
        <w:tc>
          <w:tcPr>
            <w:tcW w:w="1136" w:type="dxa"/>
            <w:tcBorders>
              <w:top w:val="single" w:sz="4" w:space="0" w:color="auto"/>
            </w:tcBorders>
          </w:tcPr>
          <w:p w14:paraId="16025C74" w14:textId="77777777" w:rsidR="003C67D2" w:rsidRPr="00DE3274" w:rsidRDefault="003C67D2" w:rsidP="003C67D2"/>
        </w:tc>
      </w:tr>
      <w:tr w:rsidR="003C67D2" w:rsidRPr="00DE3274" w14:paraId="003E695D" w14:textId="77777777" w:rsidTr="003C67D2">
        <w:tc>
          <w:tcPr>
            <w:tcW w:w="1457" w:type="dxa"/>
          </w:tcPr>
          <w:p w14:paraId="1788C9F8" w14:textId="77777777" w:rsidR="003C67D2" w:rsidRPr="00DE3274" w:rsidRDefault="003C67D2" w:rsidP="003C67D2">
            <w:r w:rsidRPr="00DE3274">
              <w:t xml:space="preserve">Income   </w:t>
            </w:r>
          </w:p>
        </w:tc>
        <w:tc>
          <w:tcPr>
            <w:tcW w:w="1135" w:type="dxa"/>
          </w:tcPr>
          <w:p w14:paraId="75B8E0C5" w14:textId="77777777" w:rsidR="003C67D2" w:rsidRPr="00DE3274" w:rsidRDefault="003C67D2" w:rsidP="003C67D2">
            <w:r w:rsidRPr="00DE3274">
              <w:t xml:space="preserve"> .068</w:t>
            </w:r>
            <w:r w:rsidRPr="00DE3274">
              <w:rPr>
                <w:vertAlign w:val="superscript"/>
              </w:rPr>
              <w:t xml:space="preserve">** </w:t>
            </w:r>
          </w:p>
        </w:tc>
        <w:tc>
          <w:tcPr>
            <w:tcW w:w="1089" w:type="dxa"/>
          </w:tcPr>
          <w:p w14:paraId="5093CFD0" w14:textId="77777777" w:rsidR="003C67D2" w:rsidRPr="00DE3274" w:rsidRDefault="003C67D2" w:rsidP="003C67D2">
            <w:r w:rsidRPr="00DE3274">
              <w:t>-.158</w:t>
            </w:r>
            <w:r w:rsidRPr="00DE3274">
              <w:rPr>
                <w:vertAlign w:val="superscript"/>
              </w:rPr>
              <w:t>***</w:t>
            </w:r>
          </w:p>
        </w:tc>
        <w:tc>
          <w:tcPr>
            <w:tcW w:w="1182" w:type="dxa"/>
          </w:tcPr>
          <w:p w14:paraId="51984E48" w14:textId="77777777" w:rsidR="003C67D2" w:rsidRPr="00DE3274" w:rsidRDefault="003C67D2" w:rsidP="003C67D2"/>
        </w:tc>
        <w:tc>
          <w:tcPr>
            <w:tcW w:w="1136" w:type="dxa"/>
          </w:tcPr>
          <w:p w14:paraId="5AFFF353" w14:textId="77777777" w:rsidR="003C67D2" w:rsidRPr="00DE3274" w:rsidRDefault="003C67D2" w:rsidP="003C67D2"/>
        </w:tc>
        <w:tc>
          <w:tcPr>
            <w:tcW w:w="1135" w:type="dxa"/>
          </w:tcPr>
          <w:p w14:paraId="2826A8D2" w14:textId="77777777" w:rsidR="003C67D2" w:rsidRPr="00DE3274" w:rsidRDefault="003C67D2" w:rsidP="003C67D2"/>
        </w:tc>
        <w:tc>
          <w:tcPr>
            <w:tcW w:w="1136" w:type="dxa"/>
          </w:tcPr>
          <w:p w14:paraId="6E2748D1" w14:textId="77777777" w:rsidR="003C67D2" w:rsidRPr="00DE3274" w:rsidRDefault="003C67D2" w:rsidP="003C67D2"/>
        </w:tc>
        <w:tc>
          <w:tcPr>
            <w:tcW w:w="1135" w:type="dxa"/>
          </w:tcPr>
          <w:p w14:paraId="74217388" w14:textId="77777777" w:rsidR="003C67D2" w:rsidRPr="00DE3274" w:rsidRDefault="003C67D2" w:rsidP="003C67D2"/>
        </w:tc>
        <w:tc>
          <w:tcPr>
            <w:tcW w:w="1136" w:type="dxa"/>
          </w:tcPr>
          <w:p w14:paraId="425A211E" w14:textId="77777777" w:rsidR="003C67D2" w:rsidRPr="00DE3274" w:rsidRDefault="003C67D2" w:rsidP="003C67D2"/>
        </w:tc>
        <w:tc>
          <w:tcPr>
            <w:tcW w:w="1135" w:type="dxa"/>
          </w:tcPr>
          <w:p w14:paraId="16B5475B" w14:textId="77777777" w:rsidR="003C67D2" w:rsidRPr="00DE3274" w:rsidRDefault="003C67D2" w:rsidP="003C67D2"/>
        </w:tc>
        <w:tc>
          <w:tcPr>
            <w:tcW w:w="1136" w:type="dxa"/>
          </w:tcPr>
          <w:p w14:paraId="437F1E2A" w14:textId="77777777" w:rsidR="003C67D2" w:rsidRPr="00DE3274" w:rsidRDefault="003C67D2" w:rsidP="003C67D2"/>
        </w:tc>
        <w:tc>
          <w:tcPr>
            <w:tcW w:w="1136" w:type="dxa"/>
          </w:tcPr>
          <w:p w14:paraId="7EB4FC42" w14:textId="77777777" w:rsidR="003C67D2" w:rsidRPr="00DE3274" w:rsidRDefault="003C67D2" w:rsidP="003C67D2"/>
        </w:tc>
      </w:tr>
      <w:tr w:rsidR="003C67D2" w:rsidRPr="00DE3274" w14:paraId="269AA7A2" w14:textId="77777777" w:rsidTr="003C67D2">
        <w:tc>
          <w:tcPr>
            <w:tcW w:w="1457" w:type="dxa"/>
          </w:tcPr>
          <w:p w14:paraId="755CD226" w14:textId="77777777" w:rsidR="003C67D2" w:rsidRPr="00DE3274" w:rsidRDefault="003C67D2" w:rsidP="003C67D2">
            <w:r w:rsidRPr="00DE3274">
              <w:t>Health problem</w:t>
            </w:r>
          </w:p>
        </w:tc>
        <w:tc>
          <w:tcPr>
            <w:tcW w:w="1135" w:type="dxa"/>
          </w:tcPr>
          <w:p w14:paraId="04F6F2F2" w14:textId="77777777" w:rsidR="003C67D2" w:rsidRPr="00DE3274" w:rsidRDefault="003C67D2" w:rsidP="003C67D2">
            <w:r w:rsidRPr="00DE3274">
              <w:t xml:space="preserve"> .112</w:t>
            </w:r>
            <w:r w:rsidRPr="00DE3274">
              <w:rPr>
                <w:vertAlign w:val="superscript"/>
              </w:rPr>
              <w:t xml:space="preserve">** </w:t>
            </w:r>
          </w:p>
        </w:tc>
        <w:tc>
          <w:tcPr>
            <w:tcW w:w="1089" w:type="dxa"/>
          </w:tcPr>
          <w:p w14:paraId="10D2E870" w14:textId="77777777" w:rsidR="003C67D2" w:rsidRPr="00DE3274" w:rsidRDefault="003C67D2" w:rsidP="003C67D2">
            <w:r w:rsidRPr="00DE3274">
              <w:t xml:space="preserve">-.040   </w:t>
            </w:r>
          </w:p>
        </w:tc>
        <w:tc>
          <w:tcPr>
            <w:tcW w:w="1182" w:type="dxa"/>
          </w:tcPr>
          <w:p w14:paraId="062BBED9" w14:textId="77777777" w:rsidR="003C67D2" w:rsidRPr="00DE3274" w:rsidRDefault="003C67D2" w:rsidP="003C67D2">
            <w:r w:rsidRPr="00DE3274">
              <w:t>-.072</w:t>
            </w:r>
            <w:r w:rsidRPr="00DE3274">
              <w:rPr>
                <w:vertAlign w:val="superscript"/>
              </w:rPr>
              <w:t>*</w:t>
            </w:r>
            <w:r w:rsidRPr="00DE3274">
              <w:t xml:space="preserve">  </w:t>
            </w:r>
          </w:p>
        </w:tc>
        <w:tc>
          <w:tcPr>
            <w:tcW w:w="1136" w:type="dxa"/>
          </w:tcPr>
          <w:p w14:paraId="57453A1C" w14:textId="77777777" w:rsidR="003C67D2" w:rsidRPr="00DE3274" w:rsidRDefault="003C67D2" w:rsidP="003C67D2"/>
        </w:tc>
        <w:tc>
          <w:tcPr>
            <w:tcW w:w="1135" w:type="dxa"/>
          </w:tcPr>
          <w:p w14:paraId="15D3359E" w14:textId="77777777" w:rsidR="003C67D2" w:rsidRPr="00DE3274" w:rsidRDefault="003C67D2" w:rsidP="003C67D2"/>
        </w:tc>
        <w:tc>
          <w:tcPr>
            <w:tcW w:w="1136" w:type="dxa"/>
          </w:tcPr>
          <w:p w14:paraId="62BCA206" w14:textId="77777777" w:rsidR="003C67D2" w:rsidRPr="00DE3274" w:rsidRDefault="003C67D2" w:rsidP="003C67D2"/>
        </w:tc>
        <w:tc>
          <w:tcPr>
            <w:tcW w:w="1135" w:type="dxa"/>
          </w:tcPr>
          <w:p w14:paraId="79A09FC9" w14:textId="77777777" w:rsidR="003C67D2" w:rsidRPr="00DE3274" w:rsidRDefault="003C67D2" w:rsidP="003C67D2"/>
        </w:tc>
        <w:tc>
          <w:tcPr>
            <w:tcW w:w="1136" w:type="dxa"/>
          </w:tcPr>
          <w:p w14:paraId="221ED988" w14:textId="77777777" w:rsidR="003C67D2" w:rsidRPr="00DE3274" w:rsidRDefault="003C67D2" w:rsidP="003C67D2"/>
        </w:tc>
        <w:tc>
          <w:tcPr>
            <w:tcW w:w="1135" w:type="dxa"/>
          </w:tcPr>
          <w:p w14:paraId="148C0575" w14:textId="77777777" w:rsidR="003C67D2" w:rsidRPr="00DE3274" w:rsidRDefault="003C67D2" w:rsidP="003C67D2"/>
        </w:tc>
        <w:tc>
          <w:tcPr>
            <w:tcW w:w="1136" w:type="dxa"/>
          </w:tcPr>
          <w:p w14:paraId="5ABA252E" w14:textId="77777777" w:rsidR="003C67D2" w:rsidRPr="00DE3274" w:rsidRDefault="003C67D2" w:rsidP="003C67D2"/>
        </w:tc>
        <w:tc>
          <w:tcPr>
            <w:tcW w:w="1136" w:type="dxa"/>
          </w:tcPr>
          <w:p w14:paraId="32314116" w14:textId="77777777" w:rsidR="003C67D2" w:rsidRPr="00DE3274" w:rsidRDefault="003C67D2" w:rsidP="003C67D2"/>
        </w:tc>
      </w:tr>
      <w:tr w:rsidR="003C67D2" w:rsidRPr="00DE3274" w14:paraId="74752FC7" w14:textId="77777777" w:rsidTr="003C67D2">
        <w:tc>
          <w:tcPr>
            <w:tcW w:w="1457" w:type="dxa"/>
          </w:tcPr>
          <w:p w14:paraId="161DC600" w14:textId="77777777" w:rsidR="003C67D2" w:rsidRPr="00DE3274" w:rsidRDefault="003C67D2" w:rsidP="003C67D2">
            <w:r w:rsidRPr="00DE3274">
              <w:t xml:space="preserve">GAD-7 ≥ 10  </w:t>
            </w:r>
          </w:p>
        </w:tc>
        <w:tc>
          <w:tcPr>
            <w:tcW w:w="1135" w:type="dxa"/>
          </w:tcPr>
          <w:p w14:paraId="0F41A0CE" w14:textId="77777777" w:rsidR="003C67D2" w:rsidRPr="00DE3274" w:rsidRDefault="003C67D2" w:rsidP="003C67D2">
            <w:r w:rsidRPr="00DE3274">
              <w:t>-.237</w:t>
            </w:r>
            <w:r w:rsidRPr="00DE3274">
              <w:rPr>
                <w:vertAlign w:val="superscript"/>
              </w:rPr>
              <w:t>***</w:t>
            </w:r>
          </w:p>
        </w:tc>
        <w:tc>
          <w:tcPr>
            <w:tcW w:w="1089" w:type="dxa"/>
          </w:tcPr>
          <w:p w14:paraId="63C2B827" w14:textId="77777777" w:rsidR="003C67D2" w:rsidRPr="00DE3274" w:rsidRDefault="003C67D2" w:rsidP="003C67D2">
            <w:r w:rsidRPr="00DE3274">
              <w:t xml:space="preserve"> .104</w:t>
            </w:r>
            <w:r w:rsidRPr="00DE3274">
              <w:rPr>
                <w:vertAlign w:val="superscript"/>
              </w:rPr>
              <w:t>***</w:t>
            </w:r>
          </w:p>
        </w:tc>
        <w:tc>
          <w:tcPr>
            <w:tcW w:w="1182" w:type="dxa"/>
          </w:tcPr>
          <w:p w14:paraId="401FAEA6" w14:textId="77777777" w:rsidR="003C67D2" w:rsidRPr="00DE3274" w:rsidRDefault="003C67D2" w:rsidP="003C67D2">
            <w:r w:rsidRPr="00DE3274">
              <w:t>-.119</w:t>
            </w:r>
            <w:r w:rsidRPr="00DE3274">
              <w:rPr>
                <w:vertAlign w:val="superscript"/>
              </w:rPr>
              <w:t>***</w:t>
            </w:r>
          </w:p>
        </w:tc>
        <w:tc>
          <w:tcPr>
            <w:tcW w:w="1136" w:type="dxa"/>
          </w:tcPr>
          <w:p w14:paraId="1A7BE129" w14:textId="77777777" w:rsidR="003C67D2" w:rsidRPr="00DE3274" w:rsidRDefault="003C67D2" w:rsidP="003C67D2">
            <w:r w:rsidRPr="00DE3274">
              <w:t>.103</w:t>
            </w:r>
            <w:r w:rsidRPr="00DE3274">
              <w:rPr>
                <w:vertAlign w:val="superscript"/>
              </w:rPr>
              <w:t>**</w:t>
            </w:r>
            <w:r w:rsidRPr="00DE3274">
              <w:t xml:space="preserve"> </w:t>
            </w:r>
          </w:p>
        </w:tc>
        <w:tc>
          <w:tcPr>
            <w:tcW w:w="1135" w:type="dxa"/>
          </w:tcPr>
          <w:p w14:paraId="1D79A6FB" w14:textId="77777777" w:rsidR="003C67D2" w:rsidRPr="00DE3274" w:rsidRDefault="003C67D2" w:rsidP="003C67D2"/>
        </w:tc>
        <w:tc>
          <w:tcPr>
            <w:tcW w:w="1136" w:type="dxa"/>
          </w:tcPr>
          <w:p w14:paraId="5F07B0CA" w14:textId="77777777" w:rsidR="003C67D2" w:rsidRPr="00DE3274" w:rsidRDefault="003C67D2" w:rsidP="003C67D2"/>
        </w:tc>
        <w:tc>
          <w:tcPr>
            <w:tcW w:w="1135" w:type="dxa"/>
          </w:tcPr>
          <w:p w14:paraId="45162BC5" w14:textId="77777777" w:rsidR="003C67D2" w:rsidRPr="00DE3274" w:rsidRDefault="003C67D2" w:rsidP="003C67D2"/>
        </w:tc>
        <w:tc>
          <w:tcPr>
            <w:tcW w:w="1136" w:type="dxa"/>
          </w:tcPr>
          <w:p w14:paraId="7E99FE1A" w14:textId="77777777" w:rsidR="003C67D2" w:rsidRPr="00DE3274" w:rsidRDefault="003C67D2" w:rsidP="003C67D2"/>
        </w:tc>
        <w:tc>
          <w:tcPr>
            <w:tcW w:w="1135" w:type="dxa"/>
          </w:tcPr>
          <w:p w14:paraId="74B62DF8" w14:textId="77777777" w:rsidR="003C67D2" w:rsidRPr="00DE3274" w:rsidRDefault="003C67D2" w:rsidP="003C67D2"/>
        </w:tc>
        <w:tc>
          <w:tcPr>
            <w:tcW w:w="1136" w:type="dxa"/>
          </w:tcPr>
          <w:p w14:paraId="0C0E6D1F" w14:textId="77777777" w:rsidR="003C67D2" w:rsidRPr="00DE3274" w:rsidRDefault="003C67D2" w:rsidP="003C67D2"/>
        </w:tc>
        <w:tc>
          <w:tcPr>
            <w:tcW w:w="1136" w:type="dxa"/>
          </w:tcPr>
          <w:p w14:paraId="207CF2A4" w14:textId="77777777" w:rsidR="003C67D2" w:rsidRPr="00DE3274" w:rsidRDefault="003C67D2" w:rsidP="003C67D2"/>
        </w:tc>
      </w:tr>
      <w:tr w:rsidR="003C67D2" w:rsidRPr="00DE3274" w14:paraId="7533B7BE" w14:textId="77777777" w:rsidTr="003C67D2">
        <w:tc>
          <w:tcPr>
            <w:tcW w:w="1457" w:type="dxa"/>
          </w:tcPr>
          <w:p w14:paraId="4EB6D9F5" w14:textId="77777777" w:rsidR="003C67D2" w:rsidRPr="00DE3274" w:rsidRDefault="003C67D2" w:rsidP="003C67D2">
            <w:r w:rsidRPr="00DE3274">
              <w:t>COVID_19 Anxiety</w:t>
            </w:r>
          </w:p>
        </w:tc>
        <w:tc>
          <w:tcPr>
            <w:tcW w:w="1135" w:type="dxa"/>
          </w:tcPr>
          <w:p w14:paraId="57D45ECC" w14:textId="77777777" w:rsidR="003C67D2" w:rsidRPr="00DE3274" w:rsidRDefault="003C67D2" w:rsidP="003C67D2">
            <w:r w:rsidRPr="00DE3274">
              <w:t xml:space="preserve"> .064</w:t>
            </w:r>
            <w:r w:rsidRPr="00DE3274">
              <w:rPr>
                <w:vertAlign w:val="superscript"/>
              </w:rPr>
              <w:t xml:space="preserve">** </w:t>
            </w:r>
          </w:p>
        </w:tc>
        <w:tc>
          <w:tcPr>
            <w:tcW w:w="1089" w:type="dxa"/>
          </w:tcPr>
          <w:p w14:paraId="0945AD4D" w14:textId="77777777" w:rsidR="003C67D2" w:rsidRPr="00DE3274" w:rsidRDefault="003C67D2" w:rsidP="003C67D2">
            <w:r w:rsidRPr="00DE3274">
              <w:t xml:space="preserve"> .113</w:t>
            </w:r>
            <w:r w:rsidRPr="00DE3274">
              <w:rPr>
                <w:vertAlign w:val="superscript"/>
              </w:rPr>
              <w:t>***</w:t>
            </w:r>
          </w:p>
        </w:tc>
        <w:tc>
          <w:tcPr>
            <w:tcW w:w="1182" w:type="dxa"/>
          </w:tcPr>
          <w:p w14:paraId="511619BF" w14:textId="77777777" w:rsidR="003C67D2" w:rsidRPr="00DE3274" w:rsidRDefault="003C67D2" w:rsidP="003C67D2">
            <w:r w:rsidRPr="00DE3274">
              <w:t xml:space="preserve"> .053</w:t>
            </w:r>
            <w:r w:rsidRPr="00DE3274">
              <w:rPr>
                <w:vertAlign w:val="superscript"/>
              </w:rPr>
              <w:t>*</w:t>
            </w:r>
            <w:r w:rsidRPr="00DE3274">
              <w:t xml:space="preserve">  </w:t>
            </w:r>
          </w:p>
        </w:tc>
        <w:tc>
          <w:tcPr>
            <w:tcW w:w="1136" w:type="dxa"/>
          </w:tcPr>
          <w:p w14:paraId="57E685C2" w14:textId="77777777" w:rsidR="003C67D2" w:rsidRPr="00DE3274" w:rsidRDefault="003C67D2" w:rsidP="003C67D2">
            <w:r w:rsidRPr="00DE3274">
              <w:t>.085</w:t>
            </w:r>
            <w:r w:rsidRPr="00DE3274">
              <w:rPr>
                <w:vertAlign w:val="superscript"/>
              </w:rPr>
              <w:t>*</w:t>
            </w:r>
            <w:r w:rsidRPr="00DE3274">
              <w:t xml:space="preserve">  </w:t>
            </w:r>
          </w:p>
        </w:tc>
        <w:tc>
          <w:tcPr>
            <w:tcW w:w="1135" w:type="dxa"/>
          </w:tcPr>
          <w:p w14:paraId="41A6475B" w14:textId="77777777" w:rsidR="003C67D2" w:rsidRPr="00DE3274" w:rsidRDefault="003C67D2" w:rsidP="003C67D2">
            <w:r w:rsidRPr="00DE3274">
              <w:t>.200</w:t>
            </w:r>
            <w:r w:rsidRPr="00DE3274">
              <w:rPr>
                <w:vertAlign w:val="superscript"/>
              </w:rPr>
              <w:t>***</w:t>
            </w:r>
          </w:p>
        </w:tc>
        <w:tc>
          <w:tcPr>
            <w:tcW w:w="1136" w:type="dxa"/>
          </w:tcPr>
          <w:p w14:paraId="230C4CC5" w14:textId="77777777" w:rsidR="003C67D2" w:rsidRPr="00DE3274" w:rsidRDefault="003C67D2" w:rsidP="003C67D2"/>
        </w:tc>
        <w:tc>
          <w:tcPr>
            <w:tcW w:w="1135" w:type="dxa"/>
          </w:tcPr>
          <w:p w14:paraId="29E9EBD2" w14:textId="77777777" w:rsidR="003C67D2" w:rsidRPr="00DE3274" w:rsidRDefault="003C67D2" w:rsidP="003C67D2"/>
        </w:tc>
        <w:tc>
          <w:tcPr>
            <w:tcW w:w="1136" w:type="dxa"/>
          </w:tcPr>
          <w:p w14:paraId="0E08B15B" w14:textId="77777777" w:rsidR="003C67D2" w:rsidRPr="00DE3274" w:rsidRDefault="003C67D2" w:rsidP="003C67D2"/>
        </w:tc>
        <w:tc>
          <w:tcPr>
            <w:tcW w:w="1135" w:type="dxa"/>
          </w:tcPr>
          <w:p w14:paraId="7E88B045" w14:textId="77777777" w:rsidR="003C67D2" w:rsidRPr="00DE3274" w:rsidRDefault="003C67D2" w:rsidP="003C67D2"/>
        </w:tc>
        <w:tc>
          <w:tcPr>
            <w:tcW w:w="1136" w:type="dxa"/>
          </w:tcPr>
          <w:p w14:paraId="5CDF3A74" w14:textId="77777777" w:rsidR="003C67D2" w:rsidRPr="00DE3274" w:rsidRDefault="003C67D2" w:rsidP="003C67D2"/>
        </w:tc>
        <w:tc>
          <w:tcPr>
            <w:tcW w:w="1136" w:type="dxa"/>
          </w:tcPr>
          <w:p w14:paraId="7AD269DA" w14:textId="77777777" w:rsidR="003C67D2" w:rsidRPr="00DE3274" w:rsidRDefault="003C67D2" w:rsidP="003C67D2"/>
        </w:tc>
      </w:tr>
      <w:tr w:rsidR="003C67D2" w:rsidRPr="00DE3274" w14:paraId="48035633" w14:textId="77777777" w:rsidTr="003C67D2">
        <w:tc>
          <w:tcPr>
            <w:tcW w:w="1457" w:type="dxa"/>
          </w:tcPr>
          <w:p w14:paraId="5C1CF56C" w14:textId="77777777" w:rsidR="003C67D2" w:rsidRPr="00DE3274" w:rsidRDefault="003C67D2" w:rsidP="003C67D2">
            <w:r w:rsidRPr="00DE3274">
              <w:t xml:space="preserve">PHQ: Pain     </w:t>
            </w:r>
          </w:p>
        </w:tc>
        <w:tc>
          <w:tcPr>
            <w:tcW w:w="1135" w:type="dxa"/>
          </w:tcPr>
          <w:p w14:paraId="5E0024BF" w14:textId="77777777" w:rsidR="003C67D2" w:rsidRPr="00DE3274" w:rsidRDefault="003C67D2" w:rsidP="003C67D2">
            <w:r w:rsidRPr="00DE3274">
              <w:t>-.105</w:t>
            </w:r>
            <w:r w:rsidRPr="00DE3274">
              <w:rPr>
                <w:vertAlign w:val="superscript"/>
              </w:rPr>
              <w:t>***</w:t>
            </w:r>
          </w:p>
        </w:tc>
        <w:tc>
          <w:tcPr>
            <w:tcW w:w="1089" w:type="dxa"/>
          </w:tcPr>
          <w:p w14:paraId="468E9E89" w14:textId="77777777" w:rsidR="003C67D2" w:rsidRPr="00DE3274" w:rsidRDefault="003C67D2" w:rsidP="003C67D2">
            <w:r w:rsidRPr="00DE3274">
              <w:t xml:space="preserve"> .023   </w:t>
            </w:r>
          </w:p>
        </w:tc>
        <w:tc>
          <w:tcPr>
            <w:tcW w:w="1182" w:type="dxa"/>
          </w:tcPr>
          <w:p w14:paraId="6864BDDE" w14:textId="77777777" w:rsidR="003C67D2" w:rsidRPr="00DE3274" w:rsidRDefault="003C67D2" w:rsidP="003C67D2">
            <w:r w:rsidRPr="00DE3274">
              <w:t>-.105</w:t>
            </w:r>
            <w:r w:rsidRPr="00DE3274">
              <w:rPr>
                <w:vertAlign w:val="superscript"/>
              </w:rPr>
              <w:t>***</w:t>
            </w:r>
          </w:p>
        </w:tc>
        <w:tc>
          <w:tcPr>
            <w:tcW w:w="1136" w:type="dxa"/>
          </w:tcPr>
          <w:p w14:paraId="7BD4CE27" w14:textId="77777777" w:rsidR="003C67D2" w:rsidRPr="00DE3274" w:rsidRDefault="003C67D2" w:rsidP="003C67D2">
            <w:r w:rsidRPr="00DE3274">
              <w:t>.127</w:t>
            </w:r>
            <w:r w:rsidRPr="00DE3274">
              <w:rPr>
                <w:vertAlign w:val="superscript"/>
              </w:rPr>
              <w:t>***</w:t>
            </w:r>
          </w:p>
        </w:tc>
        <w:tc>
          <w:tcPr>
            <w:tcW w:w="1135" w:type="dxa"/>
          </w:tcPr>
          <w:p w14:paraId="2DF5AC93" w14:textId="77777777" w:rsidR="003C67D2" w:rsidRPr="00DE3274" w:rsidRDefault="003C67D2" w:rsidP="003C67D2">
            <w:r w:rsidRPr="00DE3274">
              <w:t>.298</w:t>
            </w:r>
            <w:r w:rsidRPr="00DE3274">
              <w:rPr>
                <w:vertAlign w:val="superscript"/>
              </w:rPr>
              <w:t>***</w:t>
            </w:r>
          </w:p>
        </w:tc>
        <w:tc>
          <w:tcPr>
            <w:tcW w:w="1136" w:type="dxa"/>
          </w:tcPr>
          <w:p w14:paraId="44EA475D" w14:textId="77777777" w:rsidR="003C67D2" w:rsidRPr="00DE3274" w:rsidRDefault="003C67D2" w:rsidP="003C67D2">
            <w:r w:rsidRPr="00DE3274">
              <w:t>.112</w:t>
            </w:r>
            <w:r w:rsidRPr="00DE3274">
              <w:rPr>
                <w:vertAlign w:val="superscript"/>
              </w:rPr>
              <w:t>***</w:t>
            </w:r>
          </w:p>
        </w:tc>
        <w:tc>
          <w:tcPr>
            <w:tcW w:w="1135" w:type="dxa"/>
          </w:tcPr>
          <w:p w14:paraId="6AC08AF5" w14:textId="77777777" w:rsidR="003C67D2" w:rsidRPr="00DE3274" w:rsidRDefault="003C67D2" w:rsidP="003C67D2"/>
        </w:tc>
        <w:tc>
          <w:tcPr>
            <w:tcW w:w="1136" w:type="dxa"/>
          </w:tcPr>
          <w:p w14:paraId="779FC07A" w14:textId="77777777" w:rsidR="003C67D2" w:rsidRPr="00DE3274" w:rsidRDefault="003C67D2" w:rsidP="003C67D2"/>
        </w:tc>
        <w:tc>
          <w:tcPr>
            <w:tcW w:w="1135" w:type="dxa"/>
          </w:tcPr>
          <w:p w14:paraId="46A8029A" w14:textId="77777777" w:rsidR="003C67D2" w:rsidRPr="00DE3274" w:rsidRDefault="003C67D2" w:rsidP="003C67D2"/>
        </w:tc>
        <w:tc>
          <w:tcPr>
            <w:tcW w:w="1136" w:type="dxa"/>
          </w:tcPr>
          <w:p w14:paraId="3678B892" w14:textId="77777777" w:rsidR="003C67D2" w:rsidRPr="00DE3274" w:rsidRDefault="003C67D2" w:rsidP="003C67D2"/>
        </w:tc>
        <w:tc>
          <w:tcPr>
            <w:tcW w:w="1136" w:type="dxa"/>
          </w:tcPr>
          <w:p w14:paraId="504D7EB9" w14:textId="77777777" w:rsidR="003C67D2" w:rsidRPr="00DE3274" w:rsidRDefault="003C67D2" w:rsidP="003C67D2"/>
        </w:tc>
      </w:tr>
      <w:tr w:rsidR="003C67D2" w:rsidRPr="00DE3274" w14:paraId="6E611F7A" w14:textId="77777777" w:rsidTr="003C67D2">
        <w:tc>
          <w:tcPr>
            <w:tcW w:w="1457" w:type="dxa"/>
          </w:tcPr>
          <w:p w14:paraId="430EB7F2" w14:textId="7CD64026" w:rsidR="003C67D2" w:rsidRPr="00DE3274" w:rsidRDefault="003C67D2" w:rsidP="003C67D2">
            <w:r w:rsidRPr="00DE3274">
              <w:t>PHQ: Ga</w:t>
            </w:r>
            <w:r w:rsidR="009A6E29">
              <w:t>s</w:t>
            </w:r>
            <w:r w:rsidRPr="00DE3274">
              <w:t>tro</w:t>
            </w:r>
          </w:p>
        </w:tc>
        <w:tc>
          <w:tcPr>
            <w:tcW w:w="1135" w:type="dxa"/>
          </w:tcPr>
          <w:p w14:paraId="26B39B74" w14:textId="77777777" w:rsidR="003C67D2" w:rsidRPr="00DE3274" w:rsidRDefault="003C67D2" w:rsidP="003C67D2">
            <w:r w:rsidRPr="00DE3274">
              <w:t>-.242</w:t>
            </w:r>
            <w:r w:rsidRPr="00DE3274">
              <w:rPr>
                <w:vertAlign w:val="superscript"/>
              </w:rPr>
              <w:t>***</w:t>
            </w:r>
          </w:p>
        </w:tc>
        <w:tc>
          <w:tcPr>
            <w:tcW w:w="1089" w:type="dxa"/>
          </w:tcPr>
          <w:p w14:paraId="535F7121" w14:textId="77777777" w:rsidR="003C67D2" w:rsidRPr="00DE3274" w:rsidRDefault="003C67D2" w:rsidP="003C67D2">
            <w:r w:rsidRPr="00DE3274">
              <w:t xml:space="preserve"> .097</w:t>
            </w:r>
            <w:r w:rsidRPr="00DE3274">
              <w:rPr>
                <w:vertAlign w:val="superscript"/>
              </w:rPr>
              <w:t>***</w:t>
            </w:r>
          </w:p>
        </w:tc>
        <w:tc>
          <w:tcPr>
            <w:tcW w:w="1182" w:type="dxa"/>
          </w:tcPr>
          <w:p w14:paraId="0F83DD7A" w14:textId="77777777" w:rsidR="003C67D2" w:rsidRPr="00DE3274" w:rsidRDefault="003C67D2" w:rsidP="003C67D2">
            <w:r w:rsidRPr="00DE3274">
              <w:t>-.090</w:t>
            </w:r>
            <w:r w:rsidRPr="00DE3274">
              <w:rPr>
                <w:vertAlign w:val="superscript"/>
              </w:rPr>
              <w:t>***</w:t>
            </w:r>
          </w:p>
        </w:tc>
        <w:tc>
          <w:tcPr>
            <w:tcW w:w="1136" w:type="dxa"/>
          </w:tcPr>
          <w:p w14:paraId="50D446AB" w14:textId="77777777" w:rsidR="003C67D2" w:rsidRPr="00DE3274" w:rsidRDefault="003C67D2" w:rsidP="003C67D2">
            <w:r w:rsidRPr="00DE3274">
              <w:t>.131</w:t>
            </w:r>
            <w:r w:rsidRPr="00DE3274">
              <w:rPr>
                <w:vertAlign w:val="superscript"/>
              </w:rPr>
              <w:t>***</w:t>
            </w:r>
          </w:p>
        </w:tc>
        <w:tc>
          <w:tcPr>
            <w:tcW w:w="1135" w:type="dxa"/>
          </w:tcPr>
          <w:p w14:paraId="7AA7F48B" w14:textId="77777777" w:rsidR="003C67D2" w:rsidRPr="00DE3274" w:rsidRDefault="003C67D2" w:rsidP="003C67D2">
            <w:r w:rsidRPr="00DE3274">
              <w:t>.365</w:t>
            </w:r>
            <w:r w:rsidRPr="00DE3274">
              <w:rPr>
                <w:vertAlign w:val="superscript"/>
              </w:rPr>
              <w:t>***</w:t>
            </w:r>
          </w:p>
        </w:tc>
        <w:tc>
          <w:tcPr>
            <w:tcW w:w="1136" w:type="dxa"/>
          </w:tcPr>
          <w:p w14:paraId="185D8451" w14:textId="77777777" w:rsidR="003C67D2" w:rsidRPr="00DE3274" w:rsidRDefault="003C67D2" w:rsidP="003C67D2">
            <w:r w:rsidRPr="00DE3274">
              <w:t>.129</w:t>
            </w:r>
            <w:r w:rsidRPr="00DE3274">
              <w:rPr>
                <w:vertAlign w:val="superscript"/>
              </w:rPr>
              <w:t>***</w:t>
            </w:r>
          </w:p>
        </w:tc>
        <w:tc>
          <w:tcPr>
            <w:tcW w:w="1135" w:type="dxa"/>
          </w:tcPr>
          <w:p w14:paraId="56A9C8CD" w14:textId="77777777" w:rsidR="003C67D2" w:rsidRPr="00DE3274" w:rsidRDefault="003C67D2" w:rsidP="003C67D2">
            <w:r w:rsidRPr="00DE3274">
              <w:t>.633</w:t>
            </w:r>
            <w:r w:rsidRPr="00DE3274">
              <w:rPr>
                <w:vertAlign w:val="superscript"/>
              </w:rPr>
              <w:t>***</w:t>
            </w:r>
          </w:p>
        </w:tc>
        <w:tc>
          <w:tcPr>
            <w:tcW w:w="1136" w:type="dxa"/>
          </w:tcPr>
          <w:p w14:paraId="4A895536" w14:textId="77777777" w:rsidR="003C67D2" w:rsidRPr="00DE3274" w:rsidRDefault="003C67D2" w:rsidP="003C67D2"/>
        </w:tc>
        <w:tc>
          <w:tcPr>
            <w:tcW w:w="1135" w:type="dxa"/>
          </w:tcPr>
          <w:p w14:paraId="1196D24F" w14:textId="77777777" w:rsidR="003C67D2" w:rsidRPr="00DE3274" w:rsidRDefault="003C67D2" w:rsidP="003C67D2"/>
        </w:tc>
        <w:tc>
          <w:tcPr>
            <w:tcW w:w="1136" w:type="dxa"/>
          </w:tcPr>
          <w:p w14:paraId="620EE46F" w14:textId="77777777" w:rsidR="003C67D2" w:rsidRPr="00DE3274" w:rsidRDefault="003C67D2" w:rsidP="003C67D2"/>
        </w:tc>
        <w:tc>
          <w:tcPr>
            <w:tcW w:w="1136" w:type="dxa"/>
          </w:tcPr>
          <w:p w14:paraId="705E57F4" w14:textId="77777777" w:rsidR="003C67D2" w:rsidRPr="00DE3274" w:rsidRDefault="003C67D2" w:rsidP="003C67D2"/>
        </w:tc>
      </w:tr>
      <w:tr w:rsidR="003C67D2" w:rsidRPr="00DE3274" w14:paraId="0C139636" w14:textId="77777777" w:rsidTr="003C67D2">
        <w:tc>
          <w:tcPr>
            <w:tcW w:w="1457" w:type="dxa"/>
          </w:tcPr>
          <w:p w14:paraId="1F0184A2" w14:textId="77777777" w:rsidR="003C67D2" w:rsidRPr="00DE3274" w:rsidRDefault="003C67D2" w:rsidP="003C67D2">
            <w:r w:rsidRPr="00DE3274">
              <w:t>PHQ: Cardio</w:t>
            </w:r>
          </w:p>
        </w:tc>
        <w:tc>
          <w:tcPr>
            <w:tcW w:w="1135" w:type="dxa"/>
          </w:tcPr>
          <w:p w14:paraId="1849F154" w14:textId="77777777" w:rsidR="003C67D2" w:rsidRPr="00DE3274" w:rsidRDefault="003C67D2" w:rsidP="003C67D2">
            <w:r w:rsidRPr="00DE3274">
              <w:t>-.197</w:t>
            </w:r>
            <w:r w:rsidRPr="00DE3274">
              <w:rPr>
                <w:vertAlign w:val="superscript"/>
              </w:rPr>
              <w:t>***</w:t>
            </w:r>
          </w:p>
        </w:tc>
        <w:tc>
          <w:tcPr>
            <w:tcW w:w="1089" w:type="dxa"/>
          </w:tcPr>
          <w:p w14:paraId="67BBD903" w14:textId="77777777" w:rsidR="003C67D2" w:rsidRPr="00DE3274" w:rsidRDefault="003C67D2" w:rsidP="003C67D2">
            <w:r w:rsidRPr="00DE3274">
              <w:t>-.069</w:t>
            </w:r>
            <w:r w:rsidRPr="00DE3274">
              <w:rPr>
                <w:vertAlign w:val="superscript"/>
              </w:rPr>
              <w:t xml:space="preserve">*  </w:t>
            </w:r>
          </w:p>
        </w:tc>
        <w:tc>
          <w:tcPr>
            <w:tcW w:w="1182" w:type="dxa"/>
          </w:tcPr>
          <w:p w14:paraId="2C813C74" w14:textId="77777777" w:rsidR="003C67D2" w:rsidRPr="00DE3274" w:rsidRDefault="003C67D2" w:rsidP="003C67D2">
            <w:r w:rsidRPr="00DE3274">
              <w:t>-.050</w:t>
            </w:r>
            <w:r w:rsidRPr="00DE3274">
              <w:rPr>
                <w:vertAlign w:val="superscript"/>
              </w:rPr>
              <w:t>*</w:t>
            </w:r>
            <w:r w:rsidRPr="00DE3274">
              <w:t xml:space="preserve">  </w:t>
            </w:r>
          </w:p>
        </w:tc>
        <w:tc>
          <w:tcPr>
            <w:tcW w:w="1136" w:type="dxa"/>
          </w:tcPr>
          <w:p w14:paraId="74F90B59" w14:textId="77777777" w:rsidR="003C67D2" w:rsidRPr="00DE3274" w:rsidRDefault="003C67D2" w:rsidP="003C67D2">
            <w:r w:rsidRPr="00DE3274">
              <w:t>.135</w:t>
            </w:r>
            <w:r w:rsidRPr="00DE3274">
              <w:rPr>
                <w:vertAlign w:val="superscript"/>
              </w:rPr>
              <w:t>***</w:t>
            </w:r>
          </w:p>
        </w:tc>
        <w:tc>
          <w:tcPr>
            <w:tcW w:w="1135" w:type="dxa"/>
          </w:tcPr>
          <w:p w14:paraId="1135540A" w14:textId="77777777" w:rsidR="003C67D2" w:rsidRPr="00DE3274" w:rsidRDefault="003C67D2" w:rsidP="003C67D2">
            <w:r w:rsidRPr="00DE3274">
              <w:t>.340</w:t>
            </w:r>
            <w:r w:rsidRPr="00DE3274">
              <w:rPr>
                <w:vertAlign w:val="superscript"/>
              </w:rPr>
              <w:t>***</w:t>
            </w:r>
          </w:p>
        </w:tc>
        <w:tc>
          <w:tcPr>
            <w:tcW w:w="1136" w:type="dxa"/>
          </w:tcPr>
          <w:p w14:paraId="45E5BD1A" w14:textId="77777777" w:rsidR="003C67D2" w:rsidRPr="00DE3274" w:rsidRDefault="003C67D2" w:rsidP="003C67D2">
            <w:r w:rsidRPr="00DE3274">
              <w:t>.072</w:t>
            </w:r>
            <w:r w:rsidRPr="00DE3274">
              <w:rPr>
                <w:vertAlign w:val="superscript"/>
              </w:rPr>
              <w:t>**</w:t>
            </w:r>
            <w:r w:rsidRPr="00DE3274">
              <w:t xml:space="preserve"> </w:t>
            </w:r>
          </w:p>
        </w:tc>
        <w:tc>
          <w:tcPr>
            <w:tcW w:w="1135" w:type="dxa"/>
          </w:tcPr>
          <w:p w14:paraId="19947480" w14:textId="77777777" w:rsidR="003C67D2" w:rsidRPr="00DE3274" w:rsidRDefault="003C67D2" w:rsidP="003C67D2">
            <w:r w:rsidRPr="00DE3274">
              <w:t>.642</w:t>
            </w:r>
            <w:r w:rsidRPr="00DE3274">
              <w:rPr>
                <w:vertAlign w:val="superscript"/>
              </w:rPr>
              <w:t>***</w:t>
            </w:r>
          </w:p>
        </w:tc>
        <w:tc>
          <w:tcPr>
            <w:tcW w:w="1136" w:type="dxa"/>
          </w:tcPr>
          <w:p w14:paraId="6F46151C" w14:textId="77777777" w:rsidR="003C67D2" w:rsidRPr="00DE3274" w:rsidRDefault="003C67D2" w:rsidP="003C67D2">
            <w:r w:rsidRPr="00DE3274">
              <w:t>.704</w:t>
            </w:r>
            <w:r w:rsidRPr="00DE3274">
              <w:rPr>
                <w:vertAlign w:val="superscript"/>
              </w:rPr>
              <w:t>***</w:t>
            </w:r>
          </w:p>
        </w:tc>
        <w:tc>
          <w:tcPr>
            <w:tcW w:w="1135" w:type="dxa"/>
          </w:tcPr>
          <w:p w14:paraId="6EA4BF5E" w14:textId="77777777" w:rsidR="003C67D2" w:rsidRPr="00DE3274" w:rsidRDefault="003C67D2" w:rsidP="003C67D2"/>
        </w:tc>
        <w:tc>
          <w:tcPr>
            <w:tcW w:w="1136" w:type="dxa"/>
          </w:tcPr>
          <w:p w14:paraId="414E5E14" w14:textId="77777777" w:rsidR="003C67D2" w:rsidRPr="00DE3274" w:rsidRDefault="003C67D2" w:rsidP="003C67D2"/>
        </w:tc>
        <w:tc>
          <w:tcPr>
            <w:tcW w:w="1136" w:type="dxa"/>
          </w:tcPr>
          <w:p w14:paraId="767BF284" w14:textId="77777777" w:rsidR="003C67D2" w:rsidRPr="00DE3274" w:rsidRDefault="003C67D2" w:rsidP="003C67D2"/>
        </w:tc>
      </w:tr>
      <w:tr w:rsidR="003C67D2" w:rsidRPr="00DE3274" w14:paraId="78EF5A49" w14:textId="77777777" w:rsidTr="003C67D2">
        <w:tc>
          <w:tcPr>
            <w:tcW w:w="1457" w:type="dxa"/>
          </w:tcPr>
          <w:p w14:paraId="66764A97" w14:textId="77777777" w:rsidR="003C67D2" w:rsidRPr="00DE3274" w:rsidRDefault="003C67D2" w:rsidP="003C67D2">
            <w:r w:rsidRPr="00DE3274">
              <w:t>PHQ: Fatigue</w:t>
            </w:r>
          </w:p>
        </w:tc>
        <w:tc>
          <w:tcPr>
            <w:tcW w:w="1135" w:type="dxa"/>
          </w:tcPr>
          <w:p w14:paraId="63186CCD" w14:textId="77777777" w:rsidR="003C67D2" w:rsidRPr="00DE3274" w:rsidRDefault="003C67D2" w:rsidP="003C67D2">
            <w:r w:rsidRPr="00DE3274">
              <w:t>-.143</w:t>
            </w:r>
            <w:r w:rsidRPr="00DE3274">
              <w:rPr>
                <w:vertAlign w:val="superscript"/>
              </w:rPr>
              <w:t>***</w:t>
            </w:r>
          </w:p>
        </w:tc>
        <w:tc>
          <w:tcPr>
            <w:tcW w:w="1089" w:type="dxa"/>
          </w:tcPr>
          <w:p w14:paraId="3B12EE88" w14:textId="77777777" w:rsidR="003C67D2" w:rsidRPr="00DE3274" w:rsidRDefault="003C67D2" w:rsidP="003C67D2">
            <w:r w:rsidRPr="00DE3274">
              <w:t xml:space="preserve"> .137</w:t>
            </w:r>
            <w:r w:rsidRPr="00DE3274">
              <w:rPr>
                <w:vertAlign w:val="superscript"/>
              </w:rPr>
              <w:t>***</w:t>
            </w:r>
          </w:p>
        </w:tc>
        <w:tc>
          <w:tcPr>
            <w:tcW w:w="1182" w:type="dxa"/>
          </w:tcPr>
          <w:p w14:paraId="6055AD1F" w14:textId="77777777" w:rsidR="003C67D2" w:rsidRPr="00DE3274" w:rsidRDefault="003C67D2" w:rsidP="003C67D2">
            <w:r w:rsidRPr="00DE3274">
              <w:t>-.088</w:t>
            </w:r>
            <w:r w:rsidRPr="00DE3274">
              <w:rPr>
                <w:vertAlign w:val="superscript"/>
              </w:rPr>
              <w:t>***</w:t>
            </w:r>
          </w:p>
        </w:tc>
        <w:tc>
          <w:tcPr>
            <w:tcW w:w="1136" w:type="dxa"/>
          </w:tcPr>
          <w:p w14:paraId="51DF76AC" w14:textId="77777777" w:rsidR="003C67D2" w:rsidRPr="00DE3274" w:rsidRDefault="003C67D2" w:rsidP="003C67D2">
            <w:r w:rsidRPr="00DE3274">
              <w:t>.139</w:t>
            </w:r>
            <w:r w:rsidRPr="00DE3274">
              <w:rPr>
                <w:vertAlign w:val="superscript"/>
              </w:rPr>
              <w:t>***</w:t>
            </w:r>
          </w:p>
        </w:tc>
        <w:tc>
          <w:tcPr>
            <w:tcW w:w="1135" w:type="dxa"/>
          </w:tcPr>
          <w:p w14:paraId="04D87A5B" w14:textId="77777777" w:rsidR="003C67D2" w:rsidRPr="00DE3274" w:rsidRDefault="003C67D2" w:rsidP="003C67D2">
            <w:r w:rsidRPr="00DE3274">
              <w:t>.384</w:t>
            </w:r>
            <w:r w:rsidRPr="00DE3274">
              <w:rPr>
                <w:vertAlign w:val="superscript"/>
              </w:rPr>
              <w:t>***</w:t>
            </w:r>
          </w:p>
        </w:tc>
        <w:tc>
          <w:tcPr>
            <w:tcW w:w="1136" w:type="dxa"/>
          </w:tcPr>
          <w:p w14:paraId="7FDAAEAD" w14:textId="77777777" w:rsidR="003C67D2" w:rsidRPr="00DE3274" w:rsidRDefault="003C67D2" w:rsidP="003C67D2">
            <w:r w:rsidRPr="00DE3274">
              <w:t>.166</w:t>
            </w:r>
            <w:r w:rsidRPr="00DE3274">
              <w:rPr>
                <w:vertAlign w:val="superscript"/>
              </w:rPr>
              <w:t>***</w:t>
            </w:r>
          </w:p>
        </w:tc>
        <w:tc>
          <w:tcPr>
            <w:tcW w:w="1135" w:type="dxa"/>
          </w:tcPr>
          <w:p w14:paraId="036C16D7" w14:textId="77777777" w:rsidR="003C67D2" w:rsidRPr="00DE3274" w:rsidRDefault="003C67D2" w:rsidP="003C67D2">
            <w:r w:rsidRPr="00DE3274">
              <w:t>.553</w:t>
            </w:r>
            <w:r w:rsidRPr="00DE3274">
              <w:rPr>
                <w:vertAlign w:val="superscript"/>
              </w:rPr>
              <w:t>***</w:t>
            </w:r>
          </w:p>
        </w:tc>
        <w:tc>
          <w:tcPr>
            <w:tcW w:w="1136" w:type="dxa"/>
          </w:tcPr>
          <w:p w14:paraId="64B4F079" w14:textId="77777777" w:rsidR="003C67D2" w:rsidRPr="00DE3274" w:rsidRDefault="003C67D2" w:rsidP="003C67D2">
            <w:r w:rsidRPr="00DE3274">
              <w:t>.614</w:t>
            </w:r>
            <w:r w:rsidRPr="00DE3274">
              <w:rPr>
                <w:vertAlign w:val="superscript"/>
              </w:rPr>
              <w:t>***</w:t>
            </w:r>
          </w:p>
        </w:tc>
        <w:tc>
          <w:tcPr>
            <w:tcW w:w="1135" w:type="dxa"/>
          </w:tcPr>
          <w:p w14:paraId="0C7A3EE8" w14:textId="77777777" w:rsidR="003C67D2" w:rsidRPr="00DE3274" w:rsidRDefault="003C67D2" w:rsidP="003C67D2">
            <w:r w:rsidRPr="00DE3274">
              <w:t>.495</w:t>
            </w:r>
            <w:r w:rsidRPr="00DE3274">
              <w:rPr>
                <w:vertAlign w:val="superscript"/>
              </w:rPr>
              <w:t>***</w:t>
            </w:r>
          </w:p>
        </w:tc>
        <w:tc>
          <w:tcPr>
            <w:tcW w:w="1136" w:type="dxa"/>
          </w:tcPr>
          <w:p w14:paraId="48CC01CE" w14:textId="77777777" w:rsidR="003C67D2" w:rsidRPr="00DE3274" w:rsidRDefault="003C67D2" w:rsidP="003C67D2"/>
        </w:tc>
        <w:tc>
          <w:tcPr>
            <w:tcW w:w="1136" w:type="dxa"/>
          </w:tcPr>
          <w:p w14:paraId="556E062A" w14:textId="77777777" w:rsidR="003C67D2" w:rsidRPr="00DE3274" w:rsidRDefault="003C67D2" w:rsidP="003C67D2"/>
        </w:tc>
      </w:tr>
      <w:tr w:rsidR="003C67D2" w:rsidRPr="00DE3274" w14:paraId="4A2E6BCC" w14:textId="77777777" w:rsidTr="003C67D2">
        <w:tc>
          <w:tcPr>
            <w:tcW w:w="1457" w:type="dxa"/>
          </w:tcPr>
          <w:p w14:paraId="1167AB57" w14:textId="77777777" w:rsidR="003C67D2" w:rsidRPr="00DE3274" w:rsidRDefault="003C67D2" w:rsidP="003C67D2">
            <w:r w:rsidRPr="00DE3274">
              <w:t xml:space="preserve">PHQ total </w:t>
            </w:r>
          </w:p>
        </w:tc>
        <w:tc>
          <w:tcPr>
            <w:tcW w:w="1135" w:type="dxa"/>
          </w:tcPr>
          <w:p w14:paraId="5124F628" w14:textId="77777777" w:rsidR="003C67D2" w:rsidRPr="00DE3274" w:rsidRDefault="003C67D2" w:rsidP="003C67D2">
            <w:r w:rsidRPr="00DE3274">
              <w:t>-.210</w:t>
            </w:r>
            <w:r w:rsidRPr="00DE3274">
              <w:rPr>
                <w:vertAlign w:val="superscript"/>
              </w:rPr>
              <w:t>***</w:t>
            </w:r>
          </w:p>
        </w:tc>
        <w:tc>
          <w:tcPr>
            <w:tcW w:w="1089" w:type="dxa"/>
          </w:tcPr>
          <w:p w14:paraId="1204364C" w14:textId="77777777" w:rsidR="003C67D2" w:rsidRPr="00DE3274" w:rsidRDefault="003C67D2" w:rsidP="003C67D2">
            <w:r w:rsidRPr="00DE3274">
              <w:t xml:space="preserve"> .055</w:t>
            </w:r>
            <w:r w:rsidRPr="00DE3274">
              <w:rPr>
                <w:vertAlign w:val="superscript"/>
              </w:rPr>
              <w:t>*</w:t>
            </w:r>
            <w:r w:rsidRPr="00DE3274">
              <w:t xml:space="preserve">  </w:t>
            </w:r>
          </w:p>
        </w:tc>
        <w:tc>
          <w:tcPr>
            <w:tcW w:w="1182" w:type="dxa"/>
          </w:tcPr>
          <w:p w14:paraId="46A3CC50" w14:textId="77777777" w:rsidR="003C67D2" w:rsidRPr="00DE3274" w:rsidRDefault="003C67D2" w:rsidP="003C67D2">
            <w:r w:rsidRPr="00DE3274">
              <w:t>-.098</w:t>
            </w:r>
            <w:r w:rsidRPr="00DE3274">
              <w:rPr>
                <w:vertAlign w:val="superscript"/>
              </w:rPr>
              <w:t>***</w:t>
            </w:r>
          </w:p>
        </w:tc>
        <w:tc>
          <w:tcPr>
            <w:tcW w:w="1136" w:type="dxa"/>
          </w:tcPr>
          <w:p w14:paraId="14E1F693" w14:textId="77777777" w:rsidR="003C67D2" w:rsidRPr="00DE3274" w:rsidRDefault="003C67D2" w:rsidP="003C67D2">
            <w:r w:rsidRPr="00DE3274">
              <w:t>.155</w:t>
            </w:r>
            <w:r w:rsidRPr="00DE3274">
              <w:rPr>
                <w:vertAlign w:val="superscript"/>
              </w:rPr>
              <w:t>***</w:t>
            </w:r>
          </w:p>
        </w:tc>
        <w:tc>
          <w:tcPr>
            <w:tcW w:w="1135" w:type="dxa"/>
          </w:tcPr>
          <w:p w14:paraId="3BBD3341" w14:textId="77777777" w:rsidR="003C67D2" w:rsidRPr="00DE3274" w:rsidRDefault="003C67D2" w:rsidP="003C67D2">
            <w:r w:rsidRPr="00DE3274">
              <w:t>.411</w:t>
            </w:r>
            <w:r w:rsidRPr="00DE3274">
              <w:rPr>
                <w:vertAlign w:val="superscript"/>
              </w:rPr>
              <w:t>***</w:t>
            </w:r>
          </w:p>
        </w:tc>
        <w:tc>
          <w:tcPr>
            <w:tcW w:w="1136" w:type="dxa"/>
          </w:tcPr>
          <w:p w14:paraId="646413E3" w14:textId="77777777" w:rsidR="003C67D2" w:rsidRPr="00DE3274" w:rsidRDefault="003C67D2" w:rsidP="003C67D2">
            <w:r w:rsidRPr="00DE3274">
              <w:t>.140</w:t>
            </w:r>
            <w:r w:rsidRPr="00DE3274">
              <w:rPr>
                <w:vertAlign w:val="superscript"/>
              </w:rPr>
              <w:t>***</w:t>
            </w:r>
          </w:p>
        </w:tc>
        <w:tc>
          <w:tcPr>
            <w:tcW w:w="1135" w:type="dxa"/>
          </w:tcPr>
          <w:p w14:paraId="6E5BCC0B" w14:textId="77777777" w:rsidR="003C67D2" w:rsidRPr="00DE3274" w:rsidRDefault="003C67D2" w:rsidP="003C67D2">
            <w:r w:rsidRPr="00DE3274">
              <w:t>.835</w:t>
            </w:r>
            <w:r w:rsidRPr="00DE3274">
              <w:rPr>
                <w:vertAlign w:val="superscript"/>
              </w:rPr>
              <w:t>***</w:t>
            </w:r>
          </w:p>
        </w:tc>
        <w:tc>
          <w:tcPr>
            <w:tcW w:w="1136" w:type="dxa"/>
          </w:tcPr>
          <w:p w14:paraId="52AFC75E" w14:textId="77777777" w:rsidR="003C67D2" w:rsidRPr="00DE3274" w:rsidRDefault="003C67D2" w:rsidP="003C67D2">
            <w:r w:rsidRPr="00DE3274">
              <w:t>.896</w:t>
            </w:r>
            <w:r w:rsidRPr="00DE3274">
              <w:rPr>
                <w:vertAlign w:val="superscript"/>
              </w:rPr>
              <w:t>***</w:t>
            </w:r>
          </w:p>
        </w:tc>
        <w:tc>
          <w:tcPr>
            <w:tcW w:w="1135" w:type="dxa"/>
          </w:tcPr>
          <w:p w14:paraId="3C804747" w14:textId="77777777" w:rsidR="003C67D2" w:rsidRPr="00DE3274" w:rsidRDefault="003C67D2" w:rsidP="003C67D2">
            <w:r w:rsidRPr="00DE3274">
              <w:t>.853</w:t>
            </w:r>
            <w:r w:rsidRPr="00DE3274">
              <w:rPr>
                <w:vertAlign w:val="superscript"/>
              </w:rPr>
              <w:t>***</w:t>
            </w:r>
          </w:p>
        </w:tc>
        <w:tc>
          <w:tcPr>
            <w:tcW w:w="1136" w:type="dxa"/>
          </w:tcPr>
          <w:p w14:paraId="203B3860" w14:textId="77777777" w:rsidR="003C67D2" w:rsidRPr="00DE3274" w:rsidRDefault="003C67D2" w:rsidP="003C67D2">
            <w:r w:rsidRPr="00DE3274">
              <w:t>.770</w:t>
            </w:r>
            <w:r w:rsidRPr="00DE3274">
              <w:rPr>
                <w:vertAlign w:val="superscript"/>
              </w:rPr>
              <w:t>***</w:t>
            </w:r>
          </w:p>
        </w:tc>
        <w:tc>
          <w:tcPr>
            <w:tcW w:w="1136" w:type="dxa"/>
          </w:tcPr>
          <w:p w14:paraId="1AEE7C97" w14:textId="77777777" w:rsidR="003C67D2" w:rsidRPr="00DE3274" w:rsidRDefault="003C67D2" w:rsidP="003C67D2"/>
        </w:tc>
      </w:tr>
      <w:tr w:rsidR="003C67D2" w:rsidRPr="00DE3274" w14:paraId="39E20597" w14:textId="77777777" w:rsidTr="003C67D2">
        <w:tc>
          <w:tcPr>
            <w:tcW w:w="1457" w:type="dxa"/>
          </w:tcPr>
          <w:p w14:paraId="71EA3AC3" w14:textId="77777777" w:rsidR="003C67D2" w:rsidRPr="00DE3274" w:rsidRDefault="003C67D2" w:rsidP="003C67D2"/>
        </w:tc>
        <w:tc>
          <w:tcPr>
            <w:tcW w:w="1135" w:type="dxa"/>
          </w:tcPr>
          <w:p w14:paraId="41DD39E2" w14:textId="77777777" w:rsidR="003C67D2" w:rsidRPr="00DE3274" w:rsidRDefault="003C67D2" w:rsidP="003C67D2"/>
        </w:tc>
        <w:tc>
          <w:tcPr>
            <w:tcW w:w="1089" w:type="dxa"/>
          </w:tcPr>
          <w:p w14:paraId="5F02746F" w14:textId="77777777" w:rsidR="003C67D2" w:rsidRPr="00DE3274" w:rsidRDefault="003C67D2" w:rsidP="003C67D2"/>
        </w:tc>
        <w:tc>
          <w:tcPr>
            <w:tcW w:w="1182" w:type="dxa"/>
          </w:tcPr>
          <w:p w14:paraId="7C399E49" w14:textId="77777777" w:rsidR="003C67D2" w:rsidRPr="00DE3274" w:rsidRDefault="003C67D2" w:rsidP="003C67D2"/>
        </w:tc>
        <w:tc>
          <w:tcPr>
            <w:tcW w:w="1136" w:type="dxa"/>
          </w:tcPr>
          <w:p w14:paraId="497A602A" w14:textId="77777777" w:rsidR="003C67D2" w:rsidRPr="00DE3274" w:rsidRDefault="003C67D2" w:rsidP="003C67D2"/>
        </w:tc>
        <w:tc>
          <w:tcPr>
            <w:tcW w:w="1135" w:type="dxa"/>
          </w:tcPr>
          <w:p w14:paraId="76C7F8A8" w14:textId="77777777" w:rsidR="003C67D2" w:rsidRPr="00DE3274" w:rsidRDefault="003C67D2" w:rsidP="003C67D2"/>
        </w:tc>
        <w:tc>
          <w:tcPr>
            <w:tcW w:w="1136" w:type="dxa"/>
          </w:tcPr>
          <w:p w14:paraId="709B3738" w14:textId="77777777" w:rsidR="003C67D2" w:rsidRPr="00DE3274" w:rsidRDefault="003C67D2" w:rsidP="003C67D2"/>
        </w:tc>
        <w:tc>
          <w:tcPr>
            <w:tcW w:w="1135" w:type="dxa"/>
          </w:tcPr>
          <w:p w14:paraId="0DA258A8" w14:textId="77777777" w:rsidR="003C67D2" w:rsidRPr="00DE3274" w:rsidRDefault="003C67D2" w:rsidP="003C67D2"/>
        </w:tc>
        <w:tc>
          <w:tcPr>
            <w:tcW w:w="1136" w:type="dxa"/>
          </w:tcPr>
          <w:p w14:paraId="282FDB82" w14:textId="77777777" w:rsidR="003C67D2" w:rsidRPr="00DE3274" w:rsidRDefault="003C67D2" w:rsidP="003C67D2"/>
        </w:tc>
        <w:tc>
          <w:tcPr>
            <w:tcW w:w="1135" w:type="dxa"/>
          </w:tcPr>
          <w:p w14:paraId="4F04BFBA" w14:textId="77777777" w:rsidR="003C67D2" w:rsidRPr="00DE3274" w:rsidRDefault="003C67D2" w:rsidP="003C67D2"/>
        </w:tc>
        <w:tc>
          <w:tcPr>
            <w:tcW w:w="1136" w:type="dxa"/>
          </w:tcPr>
          <w:p w14:paraId="043C1093" w14:textId="77777777" w:rsidR="003C67D2" w:rsidRPr="00DE3274" w:rsidRDefault="003C67D2" w:rsidP="003C67D2"/>
        </w:tc>
        <w:tc>
          <w:tcPr>
            <w:tcW w:w="1136" w:type="dxa"/>
          </w:tcPr>
          <w:p w14:paraId="0F548E41" w14:textId="77777777" w:rsidR="003C67D2" w:rsidRPr="00DE3274" w:rsidRDefault="003C67D2" w:rsidP="003C67D2"/>
        </w:tc>
      </w:tr>
      <w:tr w:rsidR="003C67D2" w:rsidRPr="00DE3274" w14:paraId="215CB117" w14:textId="77777777" w:rsidTr="003C67D2">
        <w:tc>
          <w:tcPr>
            <w:tcW w:w="1457" w:type="dxa"/>
          </w:tcPr>
          <w:p w14:paraId="2EFD519D" w14:textId="77777777" w:rsidR="003C67D2" w:rsidRPr="00DE3274" w:rsidRDefault="003C67D2" w:rsidP="003C67D2">
            <w:r w:rsidRPr="00DE3274">
              <w:t>Mean/N (%)</w:t>
            </w:r>
          </w:p>
        </w:tc>
        <w:tc>
          <w:tcPr>
            <w:tcW w:w="1135" w:type="dxa"/>
          </w:tcPr>
          <w:p w14:paraId="4730D31E" w14:textId="77777777" w:rsidR="003C67D2" w:rsidRPr="00DE3274" w:rsidRDefault="003C67D2" w:rsidP="003C67D2">
            <w:r w:rsidRPr="00DE3274">
              <w:t>45.446</w:t>
            </w:r>
          </w:p>
        </w:tc>
        <w:tc>
          <w:tcPr>
            <w:tcW w:w="1089" w:type="dxa"/>
          </w:tcPr>
          <w:p w14:paraId="372012FF" w14:textId="77777777" w:rsidR="003C67D2" w:rsidRPr="00DE3274" w:rsidRDefault="003C67D2" w:rsidP="003C67D2">
            <w:r w:rsidRPr="00DE3274">
              <w:t xml:space="preserve">1047 </w:t>
            </w:r>
          </w:p>
        </w:tc>
        <w:tc>
          <w:tcPr>
            <w:tcW w:w="1182" w:type="dxa"/>
          </w:tcPr>
          <w:p w14:paraId="64858618" w14:textId="77777777" w:rsidR="003C67D2" w:rsidRPr="00DE3274" w:rsidRDefault="003C67D2" w:rsidP="003C67D2"/>
        </w:tc>
        <w:tc>
          <w:tcPr>
            <w:tcW w:w="1136" w:type="dxa"/>
          </w:tcPr>
          <w:p w14:paraId="71762F2B" w14:textId="77777777" w:rsidR="003C67D2" w:rsidRPr="00DE3274" w:rsidRDefault="003C67D2" w:rsidP="003C67D2">
            <w:r w:rsidRPr="00DE3274">
              <w:t>347</w:t>
            </w:r>
          </w:p>
        </w:tc>
        <w:tc>
          <w:tcPr>
            <w:tcW w:w="1135" w:type="dxa"/>
          </w:tcPr>
          <w:p w14:paraId="5DFC6667" w14:textId="00217447" w:rsidR="003C67D2" w:rsidRPr="00DE3274" w:rsidRDefault="00E621AE" w:rsidP="003C67D2">
            <w:r>
              <w:t>438</w:t>
            </w:r>
          </w:p>
        </w:tc>
        <w:tc>
          <w:tcPr>
            <w:tcW w:w="1136" w:type="dxa"/>
          </w:tcPr>
          <w:p w14:paraId="36F158E8" w14:textId="77777777" w:rsidR="003C67D2" w:rsidRPr="00DE3274" w:rsidRDefault="003C67D2" w:rsidP="003C67D2">
            <w:r w:rsidRPr="00DE3274">
              <w:t>67.724</w:t>
            </w:r>
          </w:p>
        </w:tc>
        <w:tc>
          <w:tcPr>
            <w:tcW w:w="1135" w:type="dxa"/>
          </w:tcPr>
          <w:p w14:paraId="63EC8DCD" w14:textId="51733AE7" w:rsidR="003C67D2" w:rsidRPr="00DE3274" w:rsidRDefault="003C67D2" w:rsidP="003C67D2">
            <w:r w:rsidRPr="00DE3274">
              <w:t>.942</w:t>
            </w:r>
          </w:p>
        </w:tc>
        <w:tc>
          <w:tcPr>
            <w:tcW w:w="1136" w:type="dxa"/>
          </w:tcPr>
          <w:p w14:paraId="0508E34B" w14:textId="77777777" w:rsidR="003C67D2" w:rsidRPr="00DE3274" w:rsidRDefault="003C67D2" w:rsidP="003C67D2">
            <w:r w:rsidRPr="00DE3274">
              <w:t>1.140</w:t>
            </w:r>
          </w:p>
        </w:tc>
        <w:tc>
          <w:tcPr>
            <w:tcW w:w="1135" w:type="dxa"/>
          </w:tcPr>
          <w:p w14:paraId="4104645A" w14:textId="77777777" w:rsidR="003C67D2" w:rsidRPr="00DE3274" w:rsidRDefault="003C67D2" w:rsidP="003C67D2">
            <w:r w:rsidRPr="00DE3274">
              <w:t>.634</w:t>
            </w:r>
          </w:p>
        </w:tc>
        <w:tc>
          <w:tcPr>
            <w:tcW w:w="1136" w:type="dxa"/>
          </w:tcPr>
          <w:p w14:paraId="608A9BB2" w14:textId="77777777" w:rsidR="003C67D2" w:rsidRPr="00DE3274" w:rsidRDefault="003C67D2" w:rsidP="003C67D2">
            <w:r w:rsidRPr="00DE3274">
              <w:t>1.001</w:t>
            </w:r>
          </w:p>
        </w:tc>
        <w:tc>
          <w:tcPr>
            <w:tcW w:w="1136" w:type="dxa"/>
          </w:tcPr>
          <w:p w14:paraId="4083F50C" w14:textId="77777777" w:rsidR="003C67D2" w:rsidRPr="00DE3274" w:rsidRDefault="003C67D2" w:rsidP="003C67D2">
            <w:r w:rsidRPr="00DE3274">
              <w:t>3.718</w:t>
            </w:r>
          </w:p>
        </w:tc>
      </w:tr>
      <w:tr w:rsidR="003C67D2" w:rsidRPr="00DE3274" w14:paraId="667C0CE7" w14:textId="77777777" w:rsidTr="003C67D2">
        <w:tc>
          <w:tcPr>
            <w:tcW w:w="1457" w:type="dxa"/>
            <w:tcBorders>
              <w:bottom w:val="single" w:sz="12" w:space="0" w:color="auto"/>
            </w:tcBorders>
          </w:tcPr>
          <w:p w14:paraId="7C029020" w14:textId="77777777" w:rsidR="003C67D2" w:rsidRPr="00DE3274" w:rsidRDefault="003C67D2" w:rsidP="003C67D2">
            <w:r w:rsidRPr="00DE3274">
              <w:t>SD/ (%)</w:t>
            </w:r>
          </w:p>
        </w:tc>
        <w:tc>
          <w:tcPr>
            <w:tcW w:w="1135" w:type="dxa"/>
            <w:tcBorders>
              <w:bottom w:val="single" w:sz="12" w:space="0" w:color="auto"/>
            </w:tcBorders>
          </w:tcPr>
          <w:p w14:paraId="0960147D" w14:textId="77777777" w:rsidR="003C67D2" w:rsidRPr="00DE3274" w:rsidRDefault="003C67D2" w:rsidP="003C67D2">
            <w:r w:rsidRPr="00DE3274">
              <w:t>15.901</w:t>
            </w:r>
          </w:p>
        </w:tc>
        <w:tc>
          <w:tcPr>
            <w:tcW w:w="1089" w:type="dxa"/>
            <w:tcBorders>
              <w:bottom w:val="single" w:sz="12" w:space="0" w:color="auto"/>
            </w:tcBorders>
          </w:tcPr>
          <w:p w14:paraId="45FEB270" w14:textId="77777777" w:rsidR="003C67D2" w:rsidRPr="00DE3274" w:rsidRDefault="003C67D2" w:rsidP="003C67D2">
            <w:r w:rsidRPr="00DE3274">
              <w:t>(51.9%)</w:t>
            </w:r>
          </w:p>
        </w:tc>
        <w:tc>
          <w:tcPr>
            <w:tcW w:w="1182" w:type="dxa"/>
            <w:tcBorders>
              <w:bottom w:val="single" w:sz="12" w:space="0" w:color="auto"/>
            </w:tcBorders>
          </w:tcPr>
          <w:p w14:paraId="571040E9" w14:textId="77777777" w:rsidR="003C67D2" w:rsidRPr="00DE3274" w:rsidRDefault="003C67D2" w:rsidP="003C67D2"/>
        </w:tc>
        <w:tc>
          <w:tcPr>
            <w:tcW w:w="1136" w:type="dxa"/>
            <w:tcBorders>
              <w:bottom w:val="single" w:sz="12" w:space="0" w:color="auto"/>
            </w:tcBorders>
          </w:tcPr>
          <w:p w14:paraId="25971CC3" w14:textId="77777777" w:rsidR="003C67D2" w:rsidRPr="00DE3274" w:rsidRDefault="003C67D2" w:rsidP="003C67D2">
            <w:r w:rsidRPr="00DE3274">
              <w:t>(17.1%)</w:t>
            </w:r>
          </w:p>
        </w:tc>
        <w:tc>
          <w:tcPr>
            <w:tcW w:w="1135" w:type="dxa"/>
            <w:tcBorders>
              <w:bottom w:val="single" w:sz="12" w:space="0" w:color="auto"/>
            </w:tcBorders>
          </w:tcPr>
          <w:p w14:paraId="313730D2" w14:textId="1E768503" w:rsidR="003C67D2" w:rsidRPr="00DE3274" w:rsidRDefault="00E621AE" w:rsidP="003C67D2">
            <w:r>
              <w:t>(21.6%)</w:t>
            </w:r>
          </w:p>
        </w:tc>
        <w:tc>
          <w:tcPr>
            <w:tcW w:w="1136" w:type="dxa"/>
            <w:tcBorders>
              <w:bottom w:val="single" w:sz="12" w:space="0" w:color="auto"/>
            </w:tcBorders>
          </w:tcPr>
          <w:p w14:paraId="2D58A2CF" w14:textId="77777777" w:rsidR="003C67D2" w:rsidRPr="00DE3274" w:rsidRDefault="003C67D2" w:rsidP="003C67D2">
            <w:r w:rsidRPr="00DE3274">
              <w:t>24.596</w:t>
            </w:r>
          </w:p>
        </w:tc>
        <w:tc>
          <w:tcPr>
            <w:tcW w:w="1135" w:type="dxa"/>
            <w:tcBorders>
              <w:bottom w:val="single" w:sz="12" w:space="0" w:color="auto"/>
            </w:tcBorders>
          </w:tcPr>
          <w:p w14:paraId="3C6AB3B8" w14:textId="77777777" w:rsidR="003C67D2" w:rsidRPr="00DE3274" w:rsidRDefault="003C67D2" w:rsidP="003C67D2">
            <w:r w:rsidRPr="00DE3274">
              <w:t>1.337</w:t>
            </w:r>
          </w:p>
        </w:tc>
        <w:tc>
          <w:tcPr>
            <w:tcW w:w="1136" w:type="dxa"/>
            <w:tcBorders>
              <w:bottom w:val="single" w:sz="12" w:space="0" w:color="auto"/>
            </w:tcBorders>
          </w:tcPr>
          <w:p w14:paraId="647D6F7C" w14:textId="77777777" w:rsidR="003C67D2" w:rsidRPr="00DE3274" w:rsidRDefault="003C67D2" w:rsidP="003C67D2">
            <w:r w:rsidRPr="00DE3274">
              <w:t>1.693</w:t>
            </w:r>
          </w:p>
        </w:tc>
        <w:tc>
          <w:tcPr>
            <w:tcW w:w="1135" w:type="dxa"/>
            <w:tcBorders>
              <w:bottom w:val="single" w:sz="12" w:space="0" w:color="auto"/>
            </w:tcBorders>
          </w:tcPr>
          <w:p w14:paraId="3B2AD97D" w14:textId="77777777" w:rsidR="003C67D2" w:rsidRPr="00DE3274" w:rsidRDefault="003C67D2" w:rsidP="003C67D2">
            <w:r w:rsidRPr="00DE3274">
              <w:t>1.431</w:t>
            </w:r>
          </w:p>
        </w:tc>
        <w:tc>
          <w:tcPr>
            <w:tcW w:w="1136" w:type="dxa"/>
            <w:tcBorders>
              <w:bottom w:val="single" w:sz="12" w:space="0" w:color="auto"/>
            </w:tcBorders>
          </w:tcPr>
          <w:p w14:paraId="75E66A65" w14:textId="77777777" w:rsidR="003C67D2" w:rsidRPr="00DE3274" w:rsidRDefault="003C67D2" w:rsidP="003C67D2">
            <w:r w:rsidRPr="00DE3274">
              <w:t>1.182</w:t>
            </w:r>
          </w:p>
        </w:tc>
        <w:tc>
          <w:tcPr>
            <w:tcW w:w="1136" w:type="dxa"/>
            <w:tcBorders>
              <w:bottom w:val="single" w:sz="12" w:space="0" w:color="auto"/>
            </w:tcBorders>
          </w:tcPr>
          <w:p w14:paraId="238CAAAA" w14:textId="77777777" w:rsidR="003C67D2" w:rsidRPr="00DE3274" w:rsidRDefault="003C67D2" w:rsidP="003C67D2">
            <w:r w:rsidRPr="00DE3274">
              <w:t>4.767</w:t>
            </w:r>
          </w:p>
        </w:tc>
      </w:tr>
    </w:tbl>
    <w:p w14:paraId="41FFD811" w14:textId="77777777" w:rsidR="003C67D2" w:rsidRPr="00DE3274" w:rsidRDefault="003C67D2" w:rsidP="003C67D2">
      <w:r w:rsidRPr="00DE3274">
        <w:t>Table 1. Descriptive Statistics and Correlations for all Study Variables.</w:t>
      </w:r>
    </w:p>
    <w:p w14:paraId="0F10E8CF" w14:textId="77777777" w:rsidR="003C67D2" w:rsidRPr="00DE3274" w:rsidRDefault="003C67D2" w:rsidP="003C67D2"/>
    <w:p w14:paraId="70FBE6AA" w14:textId="77777777" w:rsidR="00EA489E" w:rsidRPr="00DE3274" w:rsidRDefault="00EA489E" w:rsidP="00EA489E">
      <w:pPr>
        <w:autoSpaceDE w:val="0"/>
        <w:autoSpaceDN w:val="0"/>
        <w:adjustRightInd w:val="0"/>
        <w:spacing w:line="400" w:lineRule="atLeast"/>
      </w:pPr>
    </w:p>
    <w:p w14:paraId="449E1A73" w14:textId="77777777" w:rsidR="00764892" w:rsidRPr="00764892" w:rsidRDefault="00764892" w:rsidP="00764892">
      <w:pPr>
        <w:autoSpaceDE w:val="0"/>
        <w:autoSpaceDN w:val="0"/>
        <w:adjustRightInd w:val="0"/>
      </w:pPr>
    </w:p>
    <w:p w14:paraId="4912A51D" w14:textId="77777777" w:rsidR="0033653D" w:rsidRPr="00DE3274" w:rsidRDefault="0033653D" w:rsidP="0033653D">
      <w:pPr>
        <w:autoSpaceDE w:val="0"/>
        <w:autoSpaceDN w:val="0"/>
        <w:adjustRightInd w:val="0"/>
        <w:spacing w:line="400" w:lineRule="atLeast"/>
      </w:pPr>
      <w:r w:rsidRPr="00DE3274">
        <w:t>Note: p &lt;</w:t>
      </w:r>
      <w:r>
        <w:t xml:space="preserve"> </w:t>
      </w:r>
      <w:r w:rsidRPr="00DE3274">
        <w:t>.05*, p &lt; .</w:t>
      </w:r>
      <w:r>
        <w:t>0</w:t>
      </w:r>
      <w:r w:rsidRPr="00DE3274">
        <w:t>1**, p &lt; . 001***</w:t>
      </w:r>
    </w:p>
    <w:p w14:paraId="6C0DE6AC" w14:textId="77777777" w:rsidR="00764892" w:rsidRPr="00764892" w:rsidRDefault="00764892" w:rsidP="00764892">
      <w:pPr>
        <w:autoSpaceDE w:val="0"/>
        <w:autoSpaceDN w:val="0"/>
        <w:adjustRightInd w:val="0"/>
        <w:spacing w:line="400" w:lineRule="atLeast"/>
      </w:pPr>
    </w:p>
    <w:p w14:paraId="68889EB3" w14:textId="4007EF42" w:rsidR="00EA489E" w:rsidRPr="00DE3274" w:rsidRDefault="00EA489E" w:rsidP="00EA489E"/>
    <w:tbl>
      <w:tblPr>
        <w:tblStyle w:val="TableGridLight"/>
        <w:tblpPr w:leftFromText="180" w:rightFromText="180" w:vertAnchor="page" w:horzAnchor="margin" w:tblpY="2353"/>
        <w:tblW w:w="0" w:type="auto"/>
        <w:tblLook w:val="04A0" w:firstRow="1" w:lastRow="0" w:firstColumn="1" w:lastColumn="0" w:noHBand="0" w:noVBand="1"/>
      </w:tblPr>
      <w:tblGrid>
        <w:gridCol w:w="1555"/>
        <w:gridCol w:w="2405"/>
        <w:gridCol w:w="1814"/>
        <w:gridCol w:w="1814"/>
        <w:gridCol w:w="1814"/>
        <w:gridCol w:w="1815"/>
        <w:gridCol w:w="1814"/>
      </w:tblGrid>
      <w:tr w:rsidR="00EA489E" w:rsidRPr="00DE3274" w14:paraId="2DB4B23E" w14:textId="77777777" w:rsidTr="00DE4265">
        <w:tc>
          <w:tcPr>
            <w:tcW w:w="1555" w:type="dxa"/>
            <w:tcBorders>
              <w:top w:val="single" w:sz="12" w:space="0" w:color="auto"/>
              <w:bottom w:val="single" w:sz="4" w:space="0" w:color="auto"/>
            </w:tcBorders>
          </w:tcPr>
          <w:p w14:paraId="5C3D278C" w14:textId="77777777" w:rsidR="00EA489E" w:rsidRPr="00DE3274" w:rsidRDefault="00EA489E" w:rsidP="00DE4265"/>
        </w:tc>
        <w:tc>
          <w:tcPr>
            <w:tcW w:w="2405" w:type="dxa"/>
            <w:tcBorders>
              <w:top w:val="single" w:sz="12" w:space="0" w:color="auto"/>
              <w:bottom w:val="single" w:sz="4" w:space="0" w:color="auto"/>
            </w:tcBorders>
          </w:tcPr>
          <w:p w14:paraId="3122FCA1" w14:textId="77777777" w:rsidR="00EA489E" w:rsidRPr="00DE3274" w:rsidRDefault="00EA489E" w:rsidP="00DE4265"/>
        </w:tc>
        <w:tc>
          <w:tcPr>
            <w:tcW w:w="1814" w:type="dxa"/>
            <w:tcBorders>
              <w:top w:val="single" w:sz="12" w:space="0" w:color="auto"/>
              <w:bottom w:val="single" w:sz="4" w:space="0" w:color="auto"/>
            </w:tcBorders>
          </w:tcPr>
          <w:p w14:paraId="26426D01" w14:textId="77777777" w:rsidR="00EA489E" w:rsidRPr="00DE3274" w:rsidRDefault="00EA489E" w:rsidP="00DE4265">
            <w:r w:rsidRPr="00DE3274">
              <w:t>Pain</w:t>
            </w:r>
          </w:p>
          <w:p w14:paraId="5D5C81E6" w14:textId="77777777" w:rsidR="00EA489E" w:rsidRPr="00DE3274" w:rsidRDefault="00EA489E" w:rsidP="00DE4265"/>
        </w:tc>
        <w:tc>
          <w:tcPr>
            <w:tcW w:w="1814" w:type="dxa"/>
            <w:tcBorders>
              <w:top w:val="single" w:sz="12" w:space="0" w:color="auto"/>
              <w:bottom w:val="single" w:sz="4" w:space="0" w:color="auto"/>
            </w:tcBorders>
          </w:tcPr>
          <w:p w14:paraId="40F039C8" w14:textId="77777777" w:rsidR="00EA489E" w:rsidRPr="00DE3274" w:rsidRDefault="00EA489E" w:rsidP="00DE4265">
            <w:r w:rsidRPr="00DE3274">
              <w:t>Gastro</w:t>
            </w:r>
          </w:p>
        </w:tc>
        <w:tc>
          <w:tcPr>
            <w:tcW w:w="1814" w:type="dxa"/>
            <w:tcBorders>
              <w:top w:val="single" w:sz="12" w:space="0" w:color="auto"/>
              <w:bottom w:val="single" w:sz="4" w:space="0" w:color="auto"/>
            </w:tcBorders>
          </w:tcPr>
          <w:p w14:paraId="5AE596B4" w14:textId="77777777" w:rsidR="00EA489E" w:rsidRPr="00DE3274" w:rsidRDefault="00EA489E" w:rsidP="00DE4265">
            <w:r w:rsidRPr="00DE3274">
              <w:t>Cardio</w:t>
            </w:r>
          </w:p>
        </w:tc>
        <w:tc>
          <w:tcPr>
            <w:tcW w:w="1815" w:type="dxa"/>
            <w:tcBorders>
              <w:top w:val="single" w:sz="12" w:space="0" w:color="auto"/>
              <w:bottom w:val="single" w:sz="4" w:space="0" w:color="auto"/>
            </w:tcBorders>
          </w:tcPr>
          <w:p w14:paraId="34D36A8E" w14:textId="77777777" w:rsidR="00EA489E" w:rsidRPr="00DE3274" w:rsidRDefault="00EA489E" w:rsidP="00DE4265">
            <w:r w:rsidRPr="00DE3274">
              <w:t>Fatigue</w:t>
            </w:r>
          </w:p>
        </w:tc>
        <w:tc>
          <w:tcPr>
            <w:tcW w:w="1814" w:type="dxa"/>
            <w:tcBorders>
              <w:top w:val="single" w:sz="12" w:space="0" w:color="auto"/>
              <w:bottom w:val="single" w:sz="4" w:space="0" w:color="auto"/>
            </w:tcBorders>
          </w:tcPr>
          <w:p w14:paraId="2DABAA65" w14:textId="77777777" w:rsidR="00EA489E" w:rsidRPr="00DE3274" w:rsidRDefault="00EA489E" w:rsidP="00DE4265">
            <w:pPr>
              <w:jc w:val="center"/>
            </w:pPr>
            <w:r w:rsidRPr="00DE3274">
              <w:t>Total Scale</w:t>
            </w:r>
          </w:p>
        </w:tc>
      </w:tr>
      <w:tr w:rsidR="00EA489E" w:rsidRPr="00DE3274" w14:paraId="473E211D" w14:textId="77777777" w:rsidTr="00DE4265">
        <w:tc>
          <w:tcPr>
            <w:tcW w:w="1555" w:type="dxa"/>
            <w:tcBorders>
              <w:top w:val="single" w:sz="4" w:space="0" w:color="auto"/>
            </w:tcBorders>
          </w:tcPr>
          <w:p w14:paraId="0826CE4B" w14:textId="77777777" w:rsidR="00EA489E" w:rsidRPr="00DE3274" w:rsidRDefault="00EA489E" w:rsidP="00DE4265">
            <w:r w:rsidRPr="00DE3274">
              <w:t>Model 1</w:t>
            </w:r>
          </w:p>
        </w:tc>
        <w:tc>
          <w:tcPr>
            <w:tcW w:w="2405" w:type="dxa"/>
            <w:tcBorders>
              <w:top w:val="single" w:sz="4" w:space="0" w:color="auto"/>
            </w:tcBorders>
          </w:tcPr>
          <w:p w14:paraId="53C4B796" w14:textId="77777777" w:rsidR="00EA489E" w:rsidRPr="00DE3274" w:rsidRDefault="00EA489E" w:rsidP="00DE4265">
            <w:r w:rsidRPr="00DE3274">
              <w:t>COVID-19 Anxiety</w:t>
            </w:r>
          </w:p>
        </w:tc>
        <w:tc>
          <w:tcPr>
            <w:tcW w:w="1814" w:type="dxa"/>
            <w:tcBorders>
              <w:top w:val="single" w:sz="4" w:space="0" w:color="auto"/>
            </w:tcBorders>
          </w:tcPr>
          <w:p w14:paraId="3CC3D301" w14:textId="77777777" w:rsidR="00EA489E" w:rsidRPr="00DE3274" w:rsidRDefault="00EA489E" w:rsidP="00DE4265"/>
        </w:tc>
        <w:tc>
          <w:tcPr>
            <w:tcW w:w="1814" w:type="dxa"/>
            <w:tcBorders>
              <w:top w:val="single" w:sz="4" w:space="0" w:color="auto"/>
            </w:tcBorders>
          </w:tcPr>
          <w:p w14:paraId="3F829B37" w14:textId="77777777" w:rsidR="00EA489E" w:rsidRPr="00DE3274" w:rsidRDefault="00EA489E" w:rsidP="00DE4265"/>
        </w:tc>
        <w:tc>
          <w:tcPr>
            <w:tcW w:w="1814" w:type="dxa"/>
            <w:tcBorders>
              <w:top w:val="single" w:sz="4" w:space="0" w:color="auto"/>
            </w:tcBorders>
          </w:tcPr>
          <w:p w14:paraId="10895C42" w14:textId="77777777" w:rsidR="00EA489E" w:rsidRPr="00DE3274" w:rsidRDefault="00EA489E" w:rsidP="00DE4265"/>
        </w:tc>
        <w:tc>
          <w:tcPr>
            <w:tcW w:w="1815" w:type="dxa"/>
            <w:tcBorders>
              <w:top w:val="single" w:sz="4" w:space="0" w:color="auto"/>
            </w:tcBorders>
          </w:tcPr>
          <w:p w14:paraId="00A50A33" w14:textId="77777777" w:rsidR="00EA489E" w:rsidRPr="00DE3274" w:rsidRDefault="00EA489E" w:rsidP="00DE4265"/>
        </w:tc>
        <w:tc>
          <w:tcPr>
            <w:tcW w:w="1814" w:type="dxa"/>
            <w:tcBorders>
              <w:top w:val="single" w:sz="4" w:space="0" w:color="auto"/>
            </w:tcBorders>
          </w:tcPr>
          <w:p w14:paraId="5684FF2C" w14:textId="77777777" w:rsidR="00EA489E" w:rsidRPr="00DE3274" w:rsidRDefault="00EA489E" w:rsidP="00DE4265">
            <w:pPr>
              <w:jc w:val="center"/>
            </w:pPr>
          </w:p>
        </w:tc>
      </w:tr>
      <w:tr w:rsidR="00EA489E" w:rsidRPr="00DE3274" w14:paraId="5FEA34F1" w14:textId="77777777" w:rsidTr="00DE4265">
        <w:tc>
          <w:tcPr>
            <w:tcW w:w="1555" w:type="dxa"/>
            <w:tcBorders>
              <w:top w:val="single" w:sz="4" w:space="0" w:color="auto"/>
            </w:tcBorders>
          </w:tcPr>
          <w:p w14:paraId="35892A94" w14:textId="77777777" w:rsidR="00EA489E" w:rsidRPr="00DE3274" w:rsidRDefault="00EA489E" w:rsidP="00DE4265"/>
        </w:tc>
        <w:tc>
          <w:tcPr>
            <w:tcW w:w="2405" w:type="dxa"/>
            <w:tcBorders>
              <w:top w:val="single" w:sz="4" w:space="0" w:color="auto"/>
            </w:tcBorders>
          </w:tcPr>
          <w:p w14:paraId="6A334FD2" w14:textId="77777777" w:rsidR="00EA489E" w:rsidRPr="00DE3274" w:rsidRDefault="00EA489E" w:rsidP="00DE4265">
            <w:pPr>
              <w:ind w:left="317"/>
            </w:pPr>
            <w:r w:rsidRPr="00DE3274">
              <w:t>Quintile 1</w:t>
            </w:r>
          </w:p>
        </w:tc>
        <w:tc>
          <w:tcPr>
            <w:tcW w:w="1814" w:type="dxa"/>
            <w:tcBorders>
              <w:top w:val="single" w:sz="4" w:space="0" w:color="auto"/>
            </w:tcBorders>
          </w:tcPr>
          <w:p w14:paraId="4D8A263F" w14:textId="77777777" w:rsidR="00EA489E" w:rsidRPr="00DE3274" w:rsidRDefault="00EA489E" w:rsidP="00DE4265">
            <w:r w:rsidRPr="00DE3274">
              <w:t>-</w:t>
            </w:r>
          </w:p>
        </w:tc>
        <w:tc>
          <w:tcPr>
            <w:tcW w:w="1814" w:type="dxa"/>
            <w:tcBorders>
              <w:top w:val="single" w:sz="4" w:space="0" w:color="auto"/>
            </w:tcBorders>
          </w:tcPr>
          <w:p w14:paraId="47EA1B7F" w14:textId="77777777" w:rsidR="00EA489E" w:rsidRPr="00DE3274" w:rsidRDefault="00EA489E" w:rsidP="00DE4265">
            <w:r w:rsidRPr="00DE3274">
              <w:t>-</w:t>
            </w:r>
          </w:p>
        </w:tc>
        <w:tc>
          <w:tcPr>
            <w:tcW w:w="1814" w:type="dxa"/>
            <w:tcBorders>
              <w:top w:val="single" w:sz="4" w:space="0" w:color="auto"/>
            </w:tcBorders>
          </w:tcPr>
          <w:p w14:paraId="7B2DC474" w14:textId="77777777" w:rsidR="00EA489E" w:rsidRPr="00DE3274" w:rsidRDefault="00EA489E" w:rsidP="00DE4265">
            <w:r w:rsidRPr="00DE3274">
              <w:t>-</w:t>
            </w:r>
          </w:p>
        </w:tc>
        <w:tc>
          <w:tcPr>
            <w:tcW w:w="1815" w:type="dxa"/>
            <w:tcBorders>
              <w:top w:val="single" w:sz="4" w:space="0" w:color="auto"/>
            </w:tcBorders>
          </w:tcPr>
          <w:p w14:paraId="25D696DF" w14:textId="77777777" w:rsidR="00EA489E" w:rsidRPr="00DE3274" w:rsidRDefault="00EA489E" w:rsidP="00DE4265">
            <w:r w:rsidRPr="00DE3274">
              <w:t>-</w:t>
            </w:r>
          </w:p>
        </w:tc>
        <w:tc>
          <w:tcPr>
            <w:tcW w:w="1814" w:type="dxa"/>
            <w:tcBorders>
              <w:top w:val="single" w:sz="4" w:space="0" w:color="auto"/>
            </w:tcBorders>
          </w:tcPr>
          <w:p w14:paraId="34669EE3" w14:textId="77777777" w:rsidR="00EA489E" w:rsidRPr="00DE3274" w:rsidRDefault="00EA489E" w:rsidP="00DE4265">
            <w:r w:rsidRPr="00DE3274">
              <w:t>-</w:t>
            </w:r>
          </w:p>
        </w:tc>
      </w:tr>
      <w:tr w:rsidR="00EA489E" w:rsidRPr="00DE3274" w14:paraId="18BB8500" w14:textId="77777777" w:rsidTr="00DE4265">
        <w:tc>
          <w:tcPr>
            <w:tcW w:w="1555" w:type="dxa"/>
          </w:tcPr>
          <w:p w14:paraId="36FDF085" w14:textId="77777777" w:rsidR="00EA489E" w:rsidRPr="00DE3274" w:rsidRDefault="00EA489E" w:rsidP="00DE4265">
            <w:pPr>
              <w:ind w:firstLine="313"/>
            </w:pPr>
          </w:p>
        </w:tc>
        <w:tc>
          <w:tcPr>
            <w:tcW w:w="2405" w:type="dxa"/>
          </w:tcPr>
          <w:p w14:paraId="4700F888" w14:textId="77777777" w:rsidR="00EA489E" w:rsidRPr="00DE3274" w:rsidRDefault="00EA489E" w:rsidP="00DE4265">
            <w:pPr>
              <w:ind w:firstLine="313"/>
            </w:pPr>
            <w:r w:rsidRPr="00DE3274">
              <w:t>Quintile 2</w:t>
            </w:r>
          </w:p>
        </w:tc>
        <w:tc>
          <w:tcPr>
            <w:tcW w:w="1814" w:type="dxa"/>
          </w:tcPr>
          <w:p w14:paraId="0B4B478F" w14:textId="77777777" w:rsidR="00EA489E" w:rsidRPr="00DE3274" w:rsidRDefault="00EA489E" w:rsidP="00DE4265">
            <w:r w:rsidRPr="00DE3274">
              <w:t>0.140</w:t>
            </w:r>
          </w:p>
        </w:tc>
        <w:tc>
          <w:tcPr>
            <w:tcW w:w="1814" w:type="dxa"/>
          </w:tcPr>
          <w:p w14:paraId="6204FDBB" w14:textId="77777777" w:rsidR="00EA489E" w:rsidRPr="00DE3274" w:rsidRDefault="00EA489E" w:rsidP="00DE4265">
            <w:r w:rsidRPr="00DE3274">
              <w:t>0.339**</w:t>
            </w:r>
          </w:p>
        </w:tc>
        <w:tc>
          <w:tcPr>
            <w:tcW w:w="1814" w:type="dxa"/>
          </w:tcPr>
          <w:p w14:paraId="7486E564" w14:textId="77777777" w:rsidR="00EA489E" w:rsidRPr="00DE3274" w:rsidRDefault="00EA489E" w:rsidP="00DE4265">
            <w:r w:rsidRPr="00DE3274">
              <w:t>0.231</w:t>
            </w:r>
          </w:p>
        </w:tc>
        <w:tc>
          <w:tcPr>
            <w:tcW w:w="1815" w:type="dxa"/>
          </w:tcPr>
          <w:p w14:paraId="761B3432" w14:textId="77777777" w:rsidR="00EA489E" w:rsidRPr="00DE3274" w:rsidRDefault="00EA489E" w:rsidP="00DE4265">
            <w:r w:rsidRPr="00DE3274">
              <w:t>0.178*</w:t>
            </w:r>
          </w:p>
        </w:tc>
        <w:tc>
          <w:tcPr>
            <w:tcW w:w="1814" w:type="dxa"/>
          </w:tcPr>
          <w:p w14:paraId="0CAE6092" w14:textId="77777777" w:rsidR="00EA489E" w:rsidRPr="00DE3274" w:rsidRDefault="00EA489E" w:rsidP="00DE4265">
            <w:r w:rsidRPr="00DE3274">
              <w:t xml:space="preserve">0.889** </w:t>
            </w:r>
          </w:p>
        </w:tc>
      </w:tr>
      <w:tr w:rsidR="00EA489E" w:rsidRPr="00DE3274" w14:paraId="62FF013C" w14:textId="77777777" w:rsidTr="00DE4265">
        <w:tc>
          <w:tcPr>
            <w:tcW w:w="1555" w:type="dxa"/>
          </w:tcPr>
          <w:p w14:paraId="6CEA212C" w14:textId="77777777" w:rsidR="00EA489E" w:rsidRPr="00DE3274" w:rsidRDefault="00EA489E" w:rsidP="00DE4265">
            <w:pPr>
              <w:ind w:firstLine="313"/>
            </w:pPr>
          </w:p>
        </w:tc>
        <w:tc>
          <w:tcPr>
            <w:tcW w:w="2405" w:type="dxa"/>
          </w:tcPr>
          <w:p w14:paraId="6D077C75" w14:textId="77777777" w:rsidR="00EA489E" w:rsidRPr="00DE3274" w:rsidRDefault="00EA489E" w:rsidP="00DE4265">
            <w:pPr>
              <w:ind w:firstLine="313"/>
            </w:pPr>
            <w:r w:rsidRPr="00DE3274">
              <w:t>Quintile 3</w:t>
            </w:r>
          </w:p>
        </w:tc>
        <w:tc>
          <w:tcPr>
            <w:tcW w:w="1814" w:type="dxa"/>
          </w:tcPr>
          <w:p w14:paraId="533E8EDC" w14:textId="77777777" w:rsidR="00EA489E" w:rsidRPr="00DE3274" w:rsidRDefault="00EA489E" w:rsidP="00DE4265">
            <w:r w:rsidRPr="00DE3274">
              <w:t>0.189*</w:t>
            </w:r>
          </w:p>
        </w:tc>
        <w:tc>
          <w:tcPr>
            <w:tcW w:w="1814" w:type="dxa"/>
          </w:tcPr>
          <w:p w14:paraId="21FB7F97" w14:textId="77777777" w:rsidR="00EA489E" w:rsidRPr="00DE3274" w:rsidRDefault="00EA489E" w:rsidP="00DE4265">
            <w:r w:rsidRPr="00DE3274">
              <w:t>0.340**</w:t>
            </w:r>
          </w:p>
        </w:tc>
        <w:tc>
          <w:tcPr>
            <w:tcW w:w="1814" w:type="dxa"/>
          </w:tcPr>
          <w:p w14:paraId="485A8C63" w14:textId="77777777" w:rsidR="00EA489E" w:rsidRPr="00DE3274" w:rsidRDefault="00EA489E" w:rsidP="00DE4265">
            <w:r w:rsidRPr="00DE3274">
              <w:t>0.119</w:t>
            </w:r>
          </w:p>
        </w:tc>
        <w:tc>
          <w:tcPr>
            <w:tcW w:w="1815" w:type="dxa"/>
          </w:tcPr>
          <w:p w14:paraId="54C88536" w14:textId="77777777" w:rsidR="00EA489E" w:rsidRPr="00DE3274" w:rsidRDefault="00EA489E" w:rsidP="00DE4265">
            <w:r w:rsidRPr="00DE3274">
              <w:t>0.281***</w:t>
            </w:r>
          </w:p>
        </w:tc>
        <w:tc>
          <w:tcPr>
            <w:tcW w:w="1814" w:type="dxa"/>
          </w:tcPr>
          <w:p w14:paraId="2BAB3AE4" w14:textId="77777777" w:rsidR="00EA489E" w:rsidRPr="00DE3274" w:rsidRDefault="00EA489E" w:rsidP="00DE4265">
            <w:r w:rsidRPr="00DE3274">
              <w:t xml:space="preserve">0.931** </w:t>
            </w:r>
          </w:p>
        </w:tc>
      </w:tr>
      <w:tr w:rsidR="00EA489E" w:rsidRPr="00DE3274" w14:paraId="1949AE11" w14:textId="77777777" w:rsidTr="00DE4265">
        <w:tc>
          <w:tcPr>
            <w:tcW w:w="1555" w:type="dxa"/>
          </w:tcPr>
          <w:p w14:paraId="6BDF54C7" w14:textId="77777777" w:rsidR="00EA489E" w:rsidRPr="00DE3274" w:rsidRDefault="00EA489E" w:rsidP="00DE4265">
            <w:pPr>
              <w:ind w:firstLine="313"/>
            </w:pPr>
          </w:p>
        </w:tc>
        <w:tc>
          <w:tcPr>
            <w:tcW w:w="2405" w:type="dxa"/>
          </w:tcPr>
          <w:p w14:paraId="71C44B67" w14:textId="77777777" w:rsidR="00EA489E" w:rsidRPr="00DE3274" w:rsidRDefault="00EA489E" w:rsidP="00DE4265">
            <w:pPr>
              <w:ind w:firstLine="313"/>
            </w:pPr>
            <w:r w:rsidRPr="00DE3274">
              <w:t>Quintile 4</w:t>
            </w:r>
          </w:p>
        </w:tc>
        <w:tc>
          <w:tcPr>
            <w:tcW w:w="1814" w:type="dxa"/>
          </w:tcPr>
          <w:p w14:paraId="128DAB07" w14:textId="77777777" w:rsidR="00EA489E" w:rsidRPr="00DE3274" w:rsidRDefault="00EA489E" w:rsidP="00DE4265">
            <w:r w:rsidRPr="00DE3274">
              <w:t>0.181*</w:t>
            </w:r>
          </w:p>
        </w:tc>
        <w:tc>
          <w:tcPr>
            <w:tcW w:w="1814" w:type="dxa"/>
          </w:tcPr>
          <w:p w14:paraId="5FE6E1B7" w14:textId="77777777" w:rsidR="00EA489E" w:rsidRPr="00DE3274" w:rsidRDefault="00EA489E" w:rsidP="00DE4265">
            <w:r w:rsidRPr="00DE3274">
              <w:t>0.289**</w:t>
            </w:r>
          </w:p>
        </w:tc>
        <w:tc>
          <w:tcPr>
            <w:tcW w:w="1814" w:type="dxa"/>
          </w:tcPr>
          <w:p w14:paraId="376E0FD5" w14:textId="77777777" w:rsidR="00EA489E" w:rsidRPr="00DE3274" w:rsidRDefault="00EA489E" w:rsidP="00DE4265">
            <w:r w:rsidRPr="00DE3274">
              <w:t>0.064</w:t>
            </w:r>
          </w:p>
        </w:tc>
        <w:tc>
          <w:tcPr>
            <w:tcW w:w="1815" w:type="dxa"/>
          </w:tcPr>
          <w:p w14:paraId="14623CDE" w14:textId="77777777" w:rsidR="00EA489E" w:rsidRPr="00DE3274" w:rsidRDefault="00EA489E" w:rsidP="00DE4265">
            <w:r w:rsidRPr="00DE3274">
              <w:t>0.267**</w:t>
            </w:r>
          </w:p>
        </w:tc>
        <w:tc>
          <w:tcPr>
            <w:tcW w:w="1814" w:type="dxa"/>
          </w:tcPr>
          <w:p w14:paraId="17C5C600" w14:textId="77777777" w:rsidR="00EA489E" w:rsidRPr="00DE3274" w:rsidRDefault="00EA489E" w:rsidP="00DE4265">
            <w:r w:rsidRPr="00DE3274">
              <w:t xml:space="preserve">0.801*  </w:t>
            </w:r>
          </w:p>
        </w:tc>
      </w:tr>
      <w:tr w:rsidR="00EA489E" w:rsidRPr="00DE3274" w14:paraId="5BF9102F" w14:textId="77777777" w:rsidTr="00DE4265">
        <w:tc>
          <w:tcPr>
            <w:tcW w:w="1555" w:type="dxa"/>
          </w:tcPr>
          <w:p w14:paraId="3AA78144" w14:textId="77777777" w:rsidR="00EA489E" w:rsidRPr="00DE3274" w:rsidRDefault="00EA489E" w:rsidP="00DE4265">
            <w:pPr>
              <w:ind w:firstLine="313"/>
            </w:pPr>
          </w:p>
        </w:tc>
        <w:tc>
          <w:tcPr>
            <w:tcW w:w="2405" w:type="dxa"/>
          </w:tcPr>
          <w:p w14:paraId="4716E54B" w14:textId="77777777" w:rsidR="00EA489E" w:rsidRPr="00DE3274" w:rsidRDefault="00EA489E" w:rsidP="00DE4265">
            <w:pPr>
              <w:ind w:firstLine="313"/>
            </w:pPr>
            <w:r w:rsidRPr="00DE3274">
              <w:t>Quintile 5</w:t>
            </w:r>
          </w:p>
        </w:tc>
        <w:tc>
          <w:tcPr>
            <w:tcW w:w="1814" w:type="dxa"/>
          </w:tcPr>
          <w:p w14:paraId="5467550C" w14:textId="77777777" w:rsidR="00EA489E" w:rsidRPr="00DE3274" w:rsidRDefault="00EA489E" w:rsidP="00DE4265">
            <w:r w:rsidRPr="00DE3274">
              <w:t>0.427***</w:t>
            </w:r>
          </w:p>
        </w:tc>
        <w:tc>
          <w:tcPr>
            <w:tcW w:w="1814" w:type="dxa"/>
          </w:tcPr>
          <w:p w14:paraId="1B368F4B" w14:textId="77777777" w:rsidR="00EA489E" w:rsidRPr="00DE3274" w:rsidRDefault="00EA489E" w:rsidP="00DE4265">
            <w:r w:rsidRPr="00DE3274">
              <w:t>0.594***</w:t>
            </w:r>
          </w:p>
        </w:tc>
        <w:tc>
          <w:tcPr>
            <w:tcW w:w="1814" w:type="dxa"/>
          </w:tcPr>
          <w:p w14:paraId="1723F33C" w14:textId="77777777" w:rsidR="00EA489E" w:rsidRPr="00DE3274" w:rsidRDefault="00EA489E" w:rsidP="00DE4265">
            <w:r w:rsidRPr="00DE3274">
              <w:t>0.251*</w:t>
            </w:r>
          </w:p>
        </w:tc>
        <w:tc>
          <w:tcPr>
            <w:tcW w:w="1815" w:type="dxa"/>
          </w:tcPr>
          <w:p w14:paraId="5937071B" w14:textId="77777777" w:rsidR="00EA489E" w:rsidRPr="00DE3274" w:rsidRDefault="00EA489E" w:rsidP="00DE4265">
            <w:r w:rsidRPr="00DE3274">
              <w:t>0.590***</w:t>
            </w:r>
          </w:p>
        </w:tc>
        <w:tc>
          <w:tcPr>
            <w:tcW w:w="1814" w:type="dxa"/>
          </w:tcPr>
          <w:p w14:paraId="2F188D7F" w14:textId="77777777" w:rsidR="00EA489E" w:rsidRPr="00DE3274" w:rsidRDefault="00EA489E" w:rsidP="00DE4265">
            <w:r w:rsidRPr="00DE3274">
              <w:t>1.863***</w:t>
            </w:r>
          </w:p>
        </w:tc>
      </w:tr>
      <w:tr w:rsidR="00EA489E" w:rsidRPr="00DE3274" w14:paraId="3999FB69" w14:textId="77777777" w:rsidTr="00DE4265">
        <w:tc>
          <w:tcPr>
            <w:tcW w:w="1555" w:type="dxa"/>
          </w:tcPr>
          <w:p w14:paraId="7CEECD1D" w14:textId="77777777" w:rsidR="00EA489E" w:rsidRPr="00DE3274" w:rsidRDefault="00EA489E" w:rsidP="00DE4265">
            <w:pPr>
              <w:ind w:firstLine="313"/>
            </w:pPr>
          </w:p>
        </w:tc>
        <w:tc>
          <w:tcPr>
            <w:tcW w:w="2405" w:type="dxa"/>
          </w:tcPr>
          <w:p w14:paraId="703FBCE8" w14:textId="77777777" w:rsidR="00EA489E" w:rsidRPr="00DE3274" w:rsidRDefault="00EA489E" w:rsidP="00DE4265">
            <w:pPr>
              <w:ind w:firstLine="313"/>
            </w:pPr>
          </w:p>
        </w:tc>
        <w:tc>
          <w:tcPr>
            <w:tcW w:w="1814" w:type="dxa"/>
          </w:tcPr>
          <w:p w14:paraId="583EF55C" w14:textId="77777777" w:rsidR="00EA489E" w:rsidRPr="00DE3274" w:rsidRDefault="00EA489E" w:rsidP="00DE4265"/>
        </w:tc>
        <w:tc>
          <w:tcPr>
            <w:tcW w:w="1814" w:type="dxa"/>
          </w:tcPr>
          <w:p w14:paraId="0257A59D" w14:textId="77777777" w:rsidR="00EA489E" w:rsidRPr="00DE3274" w:rsidRDefault="00EA489E" w:rsidP="00DE4265"/>
        </w:tc>
        <w:tc>
          <w:tcPr>
            <w:tcW w:w="1814" w:type="dxa"/>
          </w:tcPr>
          <w:p w14:paraId="77792DAE" w14:textId="77777777" w:rsidR="00EA489E" w:rsidRPr="00DE3274" w:rsidRDefault="00EA489E" w:rsidP="00DE4265"/>
        </w:tc>
        <w:tc>
          <w:tcPr>
            <w:tcW w:w="1815" w:type="dxa"/>
          </w:tcPr>
          <w:p w14:paraId="7EDA6E83" w14:textId="77777777" w:rsidR="00EA489E" w:rsidRPr="00DE3274" w:rsidRDefault="00EA489E" w:rsidP="00DE4265"/>
        </w:tc>
        <w:tc>
          <w:tcPr>
            <w:tcW w:w="1814" w:type="dxa"/>
          </w:tcPr>
          <w:p w14:paraId="1CCE8390" w14:textId="77777777" w:rsidR="00EA489E" w:rsidRPr="00DE3274" w:rsidRDefault="00EA489E" w:rsidP="00DE4265">
            <w:pPr>
              <w:jc w:val="center"/>
            </w:pPr>
          </w:p>
        </w:tc>
      </w:tr>
      <w:tr w:rsidR="00EA489E" w:rsidRPr="00DE3274" w14:paraId="40A6181B" w14:textId="77777777" w:rsidTr="00DE4265">
        <w:tc>
          <w:tcPr>
            <w:tcW w:w="1555" w:type="dxa"/>
          </w:tcPr>
          <w:p w14:paraId="634ECBA6" w14:textId="77777777" w:rsidR="00EA489E" w:rsidRPr="00DE3274" w:rsidRDefault="00EA489E" w:rsidP="00DE4265"/>
        </w:tc>
        <w:tc>
          <w:tcPr>
            <w:tcW w:w="2405" w:type="dxa"/>
          </w:tcPr>
          <w:p w14:paraId="60E79DB5" w14:textId="77777777" w:rsidR="00EA489E" w:rsidRPr="00DE3274" w:rsidRDefault="00EA489E" w:rsidP="00DE4265">
            <w:r w:rsidRPr="00DE3274">
              <w:t>R-squared</w:t>
            </w:r>
          </w:p>
        </w:tc>
        <w:tc>
          <w:tcPr>
            <w:tcW w:w="1814" w:type="dxa"/>
          </w:tcPr>
          <w:p w14:paraId="309A1301" w14:textId="77777777" w:rsidR="00EA489E" w:rsidRPr="00DE3274" w:rsidRDefault="00EA489E" w:rsidP="00DE4265">
            <w:r w:rsidRPr="00DE3274">
              <w:t xml:space="preserve">.011*      </w:t>
            </w:r>
          </w:p>
        </w:tc>
        <w:tc>
          <w:tcPr>
            <w:tcW w:w="1814" w:type="dxa"/>
          </w:tcPr>
          <w:p w14:paraId="21D7D692" w14:textId="77777777" w:rsidR="00EA489E" w:rsidRPr="00DE3274" w:rsidRDefault="00EA489E" w:rsidP="00DE4265">
            <w:r w:rsidRPr="00DE3274">
              <w:t xml:space="preserve">.012**      </w:t>
            </w:r>
          </w:p>
        </w:tc>
        <w:tc>
          <w:tcPr>
            <w:tcW w:w="1814" w:type="dxa"/>
          </w:tcPr>
          <w:p w14:paraId="704F6445" w14:textId="77777777" w:rsidR="00EA489E" w:rsidRPr="00DE3274" w:rsidRDefault="00EA489E" w:rsidP="00DE4265">
            <w:r w:rsidRPr="00DE3274">
              <w:t xml:space="preserve">.004      </w:t>
            </w:r>
          </w:p>
        </w:tc>
        <w:tc>
          <w:tcPr>
            <w:tcW w:w="1815" w:type="dxa"/>
          </w:tcPr>
          <w:p w14:paraId="30C6A4FA" w14:textId="77777777" w:rsidR="00EA489E" w:rsidRPr="00DE3274" w:rsidRDefault="00EA489E" w:rsidP="00DE4265">
            <w:r w:rsidRPr="00DE3274">
              <w:t xml:space="preserve">.027***      </w:t>
            </w:r>
          </w:p>
        </w:tc>
        <w:tc>
          <w:tcPr>
            <w:tcW w:w="1814" w:type="dxa"/>
          </w:tcPr>
          <w:p w14:paraId="4FB3D2AD" w14:textId="77777777" w:rsidR="00EA489E" w:rsidRPr="00DE3274" w:rsidRDefault="00EA489E" w:rsidP="00DE4265">
            <w:r w:rsidRPr="00DE3274">
              <w:t>.015**</w:t>
            </w:r>
          </w:p>
        </w:tc>
      </w:tr>
      <w:tr w:rsidR="00EA489E" w:rsidRPr="00DE3274" w14:paraId="3DACA12C" w14:textId="77777777" w:rsidTr="00DE4265">
        <w:tc>
          <w:tcPr>
            <w:tcW w:w="1555" w:type="dxa"/>
          </w:tcPr>
          <w:p w14:paraId="3EF794CE" w14:textId="77777777" w:rsidR="00EA489E" w:rsidRPr="00DE3274" w:rsidRDefault="00EA489E" w:rsidP="00DE4265"/>
        </w:tc>
        <w:tc>
          <w:tcPr>
            <w:tcW w:w="2405" w:type="dxa"/>
          </w:tcPr>
          <w:p w14:paraId="3B148A3D" w14:textId="77777777" w:rsidR="00EA489E" w:rsidRPr="00DE3274" w:rsidRDefault="00EA489E" w:rsidP="00DE4265"/>
        </w:tc>
        <w:tc>
          <w:tcPr>
            <w:tcW w:w="1814" w:type="dxa"/>
          </w:tcPr>
          <w:p w14:paraId="1E08131D" w14:textId="77777777" w:rsidR="00EA489E" w:rsidRPr="00DE3274" w:rsidRDefault="00EA489E" w:rsidP="00DE4265"/>
        </w:tc>
        <w:tc>
          <w:tcPr>
            <w:tcW w:w="1814" w:type="dxa"/>
          </w:tcPr>
          <w:p w14:paraId="36D207EB" w14:textId="77777777" w:rsidR="00EA489E" w:rsidRPr="00DE3274" w:rsidRDefault="00EA489E" w:rsidP="00DE4265"/>
        </w:tc>
        <w:tc>
          <w:tcPr>
            <w:tcW w:w="1814" w:type="dxa"/>
          </w:tcPr>
          <w:p w14:paraId="328687AE" w14:textId="77777777" w:rsidR="00EA489E" w:rsidRPr="00DE3274" w:rsidRDefault="00EA489E" w:rsidP="00DE4265"/>
        </w:tc>
        <w:tc>
          <w:tcPr>
            <w:tcW w:w="1815" w:type="dxa"/>
          </w:tcPr>
          <w:p w14:paraId="6E0FF8B9" w14:textId="77777777" w:rsidR="00EA489E" w:rsidRPr="00DE3274" w:rsidRDefault="00EA489E" w:rsidP="00DE4265"/>
        </w:tc>
        <w:tc>
          <w:tcPr>
            <w:tcW w:w="1814" w:type="dxa"/>
          </w:tcPr>
          <w:p w14:paraId="75C5BB3A" w14:textId="77777777" w:rsidR="00EA489E" w:rsidRPr="00DE3274" w:rsidRDefault="00EA489E" w:rsidP="00DE4265">
            <w:pPr>
              <w:jc w:val="center"/>
            </w:pPr>
          </w:p>
        </w:tc>
      </w:tr>
      <w:tr w:rsidR="00EA489E" w:rsidRPr="00DE3274" w14:paraId="6EDD7CD5" w14:textId="77777777" w:rsidTr="00DE4265">
        <w:tc>
          <w:tcPr>
            <w:tcW w:w="1555" w:type="dxa"/>
          </w:tcPr>
          <w:p w14:paraId="22AFEDA0" w14:textId="77777777" w:rsidR="00EA489E" w:rsidRPr="00DE3274" w:rsidRDefault="00EA489E" w:rsidP="00DE4265">
            <w:r w:rsidRPr="00DE3274">
              <w:t>Model 2</w:t>
            </w:r>
          </w:p>
        </w:tc>
        <w:tc>
          <w:tcPr>
            <w:tcW w:w="2405" w:type="dxa"/>
          </w:tcPr>
          <w:p w14:paraId="523BE865" w14:textId="77777777" w:rsidR="00EA489E" w:rsidRPr="00DE3274" w:rsidRDefault="00EA489E" w:rsidP="00DE4265">
            <w:r w:rsidRPr="00DE3274">
              <w:t>COVID-19 Anxiety</w:t>
            </w:r>
          </w:p>
        </w:tc>
        <w:tc>
          <w:tcPr>
            <w:tcW w:w="1814" w:type="dxa"/>
          </w:tcPr>
          <w:p w14:paraId="5F4F394A" w14:textId="77777777" w:rsidR="00EA489E" w:rsidRPr="00DE3274" w:rsidRDefault="00EA489E" w:rsidP="00DE4265"/>
        </w:tc>
        <w:tc>
          <w:tcPr>
            <w:tcW w:w="1814" w:type="dxa"/>
          </w:tcPr>
          <w:p w14:paraId="7D55BA79" w14:textId="77777777" w:rsidR="00EA489E" w:rsidRPr="00DE3274" w:rsidRDefault="00EA489E" w:rsidP="00DE4265"/>
        </w:tc>
        <w:tc>
          <w:tcPr>
            <w:tcW w:w="1814" w:type="dxa"/>
          </w:tcPr>
          <w:p w14:paraId="5CDFB80E" w14:textId="77777777" w:rsidR="00EA489E" w:rsidRPr="00DE3274" w:rsidRDefault="00EA489E" w:rsidP="00DE4265"/>
        </w:tc>
        <w:tc>
          <w:tcPr>
            <w:tcW w:w="1815" w:type="dxa"/>
          </w:tcPr>
          <w:p w14:paraId="0DA4D3EB" w14:textId="77777777" w:rsidR="00EA489E" w:rsidRPr="00DE3274" w:rsidRDefault="00EA489E" w:rsidP="00DE4265"/>
        </w:tc>
        <w:tc>
          <w:tcPr>
            <w:tcW w:w="1814" w:type="dxa"/>
          </w:tcPr>
          <w:p w14:paraId="0762A841" w14:textId="77777777" w:rsidR="00EA489E" w:rsidRPr="00DE3274" w:rsidRDefault="00EA489E" w:rsidP="00DE4265">
            <w:pPr>
              <w:jc w:val="center"/>
            </w:pPr>
          </w:p>
        </w:tc>
      </w:tr>
      <w:tr w:rsidR="00EA489E" w:rsidRPr="00DE3274" w14:paraId="29A615A7" w14:textId="77777777" w:rsidTr="00DE4265">
        <w:tc>
          <w:tcPr>
            <w:tcW w:w="1555" w:type="dxa"/>
          </w:tcPr>
          <w:p w14:paraId="420AF290" w14:textId="77777777" w:rsidR="00EA489E" w:rsidRPr="00DE3274" w:rsidRDefault="00EA489E" w:rsidP="00DE4265"/>
        </w:tc>
        <w:tc>
          <w:tcPr>
            <w:tcW w:w="2405" w:type="dxa"/>
          </w:tcPr>
          <w:p w14:paraId="39084977" w14:textId="77777777" w:rsidR="00EA489E" w:rsidRPr="00DE3274" w:rsidRDefault="00EA489E" w:rsidP="00DE4265">
            <w:pPr>
              <w:ind w:left="317"/>
            </w:pPr>
            <w:r w:rsidRPr="00DE3274">
              <w:t>Quintile 1</w:t>
            </w:r>
          </w:p>
        </w:tc>
        <w:tc>
          <w:tcPr>
            <w:tcW w:w="1814" w:type="dxa"/>
          </w:tcPr>
          <w:p w14:paraId="0DF73B31" w14:textId="77777777" w:rsidR="00EA489E" w:rsidRPr="00DE3274" w:rsidRDefault="00EA489E" w:rsidP="00DE4265">
            <w:r w:rsidRPr="00DE3274">
              <w:t>-</w:t>
            </w:r>
          </w:p>
        </w:tc>
        <w:tc>
          <w:tcPr>
            <w:tcW w:w="1814" w:type="dxa"/>
          </w:tcPr>
          <w:p w14:paraId="60A67BEC" w14:textId="77777777" w:rsidR="00EA489E" w:rsidRPr="00DE3274" w:rsidRDefault="00EA489E" w:rsidP="00DE4265">
            <w:r w:rsidRPr="00DE3274">
              <w:t>-</w:t>
            </w:r>
          </w:p>
        </w:tc>
        <w:tc>
          <w:tcPr>
            <w:tcW w:w="1814" w:type="dxa"/>
          </w:tcPr>
          <w:p w14:paraId="6DED049E" w14:textId="77777777" w:rsidR="00EA489E" w:rsidRPr="00DE3274" w:rsidRDefault="00EA489E" w:rsidP="00DE4265">
            <w:r w:rsidRPr="00DE3274">
              <w:t>-</w:t>
            </w:r>
          </w:p>
        </w:tc>
        <w:tc>
          <w:tcPr>
            <w:tcW w:w="1815" w:type="dxa"/>
          </w:tcPr>
          <w:p w14:paraId="38D71337" w14:textId="77777777" w:rsidR="00EA489E" w:rsidRPr="00DE3274" w:rsidRDefault="00EA489E" w:rsidP="00DE4265">
            <w:r w:rsidRPr="00DE3274">
              <w:t>-</w:t>
            </w:r>
          </w:p>
        </w:tc>
        <w:tc>
          <w:tcPr>
            <w:tcW w:w="1814" w:type="dxa"/>
          </w:tcPr>
          <w:p w14:paraId="2E08FB86" w14:textId="77777777" w:rsidR="00EA489E" w:rsidRPr="00DE3274" w:rsidRDefault="00EA489E" w:rsidP="00DE4265">
            <w:r w:rsidRPr="00DE3274">
              <w:t>-</w:t>
            </w:r>
          </w:p>
        </w:tc>
      </w:tr>
      <w:tr w:rsidR="00EA489E" w:rsidRPr="00DE3274" w14:paraId="288E4C4C" w14:textId="77777777" w:rsidTr="00DE4265">
        <w:tc>
          <w:tcPr>
            <w:tcW w:w="1555" w:type="dxa"/>
          </w:tcPr>
          <w:p w14:paraId="63997691" w14:textId="77777777" w:rsidR="00EA489E" w:rsidRPr="00DE3274" w:rsidRDefault="00EA489E" w:rsidP="00DE4265">
            <w:pPr>
              <w:ind w:firstLine="313"/>
            </w:pPr>
          </w:p>
        </w:tc>
        <w:tc>
          <w:tcPr>
            <w:tcW w:w="2405" w:type="dxa"/>
          </w:tcPr>
          <w:p w14:paraId="11667CC8" w14:textId="77777777" w:rsidR="00EA489E" w:rsidRPr="00DE3274" w:rsidRDefault="00EA489E" w:rsidP="00DE4265">
            <w:pPr>
              <w:ind w:firstLine="313"/>
            </w:pPr>
            <w:r w:rsidRPr="00DE3274">
              <w:t>Quintile 2</w:t>
            </w:r>
          </w:p>
        </w:tc>
        <w:tc>
          <w:tcPr>
            <w:tcW w:w="1814" w:type="dxa"/>
          </w:tcPr>
          <w:p w14:paraId="23CDD1E9" w14:textId="77777777" w:rsidR="00EA489E" w:rsidRPr="00DE3274" w:rsidRDefault="00EA489E" w:rsidP="00DE4265">
            <w:r w:rsidRPr="00DE3274">
              <w:t xml:space="preserve"> 0.103</w:t>
            </w:r>
          </w:p>
        </w:tc>
        <w:tc>
          <w:tcPr>
            <w:tcW w:w="1814" w:type="dxa"/>
          </w:tcPr>
          <w:p w14:paraId="29FA9589" w14:textId="77777777" w:rsidR="00EA489E" w:rsidRPr="00DE3274" w:rsidRDefault="00EA489E" w:rsidP="00DE4265">
            <w:r w:rsidRPr="00DE3274">
              <w:t xml:space="preserve"> 0.249*</w:t>
            </w:r>
          </w:p>
        </w:tc>
        <w:tc>
          <w:tcPr>
            <w:tcW w:w="1814" w:type="dxa"/>
          </w:tcPr>
          <w:p w14:paraId="0D4783F6" w14:textId="77777777" w:rsidR="00EA489E" w:rsidRPr="00DE3274" w:rsidRDefault="00EA489E" w:rsidP="00DE4265">
            <w:r w:rsidRPr="00DE3274">
              <w:t xml:space="preserve"> 0.164</w:t>
            </w:r>
          </w:p>
        </w:tc>
        <w:tc>
          <w:tcPr>
            <w:tcW w:w="1815" w:type="dxa"/>
          </w:tcPr>
          <w:p w14:paraId="0B9E2A05" w14:textId="77777777" w:rsidR="00EA489E" w:rsidRPr="00DE3274" w:rsidRDefault="00EA489E" w:rsidP="00DE4265">
            <w:r w:rsidRPr="00DE3274">
              <w:t xml:space="preserve"> 0.122 </w:t>
            </w:r>
          </w:p>
        </w:tc>
        <w:tc>
          <w:tcPr>
            <w:tcW w:w="1814" w:type="dxa"/>
          </w:tcPr>
          <w:p w14:paraId="4DBEB764" w14:textId="77777777" w:rsidR="00EA489E" w:rsidRPr="00DE3274" w:rsidRDefault="00EA489E" w:rsidP="00DE4265">
            <w:r w:rsidRPr="00DE3274">
              <w:t>0.637*</w:t>
            </w:r>
          </w:p>
        </w:tc>
      </w:tr>
      <w:tr w:rsidR="00EA489E" w:rsidRPr="00DE3274" w14:paraId="4164BFAF" w14:textId="77777777" w:rsidTr="00DE4265">
        <w:tc>
          <w:tcPr>
            <w:tcW w:w="1555" w:type="dxa"/>
          </w:tcPr>
          <w:p w14:paraId="7611D8B2" w14:textId="77777777" w:rsidR="00EA489E" w:rsidRPr="00DE3274" w:rsidRDefault="00EA489E" w:rsidP="00DE4265">
            <w:pPr>
              <w:ind w:firstLine="313"/>
            </w:pPr>
          </w:p>
        </w:tc>
        <w:tc>
          <w:tcPr>
            <w:tcW w:w="2405" w:type="dxa"/>
          </w:tcPr>
          <w:p w14:paraId="25B323BF" w14:textId="77777777" w:rsidR="00EA489E" w:rsidRPr="00DE3274" w:rsidRDefault="00EA489E" w:rsidP="00DE4265">
            <w:pPr>
              <w:ind w:firstLine="313"/>
            </w:pPr>
            <w:r w:rsidRPr="00DE3274">
              <w:t>Quintile 3</w:t>
            </w:r>
          </w:p>
        </w:tc>
        <w:tc>
          <w:tcPr>
            <w:tcW w:w="1814" w:type="dxa"/>
          </w:tcPr>
          <w:p w14:paraId="646F0C42" w14:textId="77777777" w:rsidR="00EA489E" w:rsidRPr="00DE3274" w:rsidRDefault="00EA489E" w:rsidP="00DE4265">
            <w:r w:rsidRPr="00DE3274">
              <w:t xml:space="preserve"> 0.141</w:t>
            </w:r>
          </w:p>
        </w:tc>
        <w:tc>
          <w:tcPr>
            <w:tcW w:w="1814" w:type="dxa"/>
          </w:tcPr>
          <w:p w14:paraId="133630D2" w14:textId="77777777" w:rsidR="00EA489E" w:rsidRPr="00DE3274" w:rsidRDefault="00EA489E" w:rsidP="00DE4265">
            <w:r w:rsidRPr="00DE3274">
              <w:t xml:space="preserve"> 0.251*</w:t>
            </w:r>
          </w:p>
        </w:tc>
        <w:tc>
          <w:tcPr>
            <w:tcW w:w="1814" w:type="dxa"/>
          </w:tcPr>
          <w:p w14:paraId="20FBB0E6" w14:textId="77777777" w:rsidR="00EA489E" w:rsidRPr="00DE3274" w:rsidRDefault="00EA489E" w:rsidP="00DE4265">
            <w:r w:rsidRPr="00DE3274">
              <w:t xml:space="preserve"> 0.058</w:t>
            </w:r>
          </w:p>
        </w:tc>
        <w:tc>
          <w:tcPr>
            <w:tcW w:w="1815" w:type="dxa"/>
          </w:tcPr>
          <w:p w14:paraId="72BE1B67" w14:textId="77777777" w:rsidR="00EA489E" w:rsidRPr="00DE3274" w:rsidRDefault="00EA489E" w:rsidP="00DE4265">
            <w:r w:rsidRPr="00DE3274">
              <w:t xml:space="preserve"> 0.196** </w:t>
            </w:r>
          </w:p>
        </w:tc>
        <w:tc>
          <w:tcPr>
            <w:tcW w:w="1814" w:type="dxa"/>
          </w:tcPr>
          <w:p w14:paraId="022E32F0" w14:textId="77777777" w:rsidR="00EA489E" w:rsidRPr="00DE3274" w:rsidRDefault="00EA489E" w:rsidP="00DE4265">
            <w:r w:rsidRPr="00DE3274">
              <w:t>0.647*</w:t>
            </w:r>
          </w:p>
        </w:tc>
      </w:tr>
      <w:tr w:rsidR="00EA489E" w:rsidRPr="00DE3274" w14:paraId="7E759662" w14:textId="77777777" w:rsidTr="00DE4265">
        <w:tc>
          <w:tcPr>
            <w:tcW w:w="1555" w:type="dxa"/>
          </w:tcPr>
          <w:p w14:paraId="511A73A4" w14:textId="77777777" w:rsidR="00EA489E" w:rsidRPr="00DE3274" w:rsidRDefault="00EA489E" w:rsidP="00DE4265">
            <w:pPr>
              <w:ind w:firstLine="313"/>
            </w:pPr>
          </w:p>
        </w:tc>
        <w:tc>
          <w:tcPr>
            <w:tcW w:w="2405" w:type="dxa"/>
          </w:tcPr>
          <w:p w14:paraId="7ED34DF7" w14:textId="77777777" w:rsidR="00EA489E" w:rsidRPr="00DE3274" w:rsidRDefault="00EA489E" w:rsidP="00DE4265">
            <w:pPr>
              <w:ind w:firstLine="313"/>
            </w:pPr>
            <w:r w:rsidRPr="00DE3274">
              <w:t>Quintile 4</w:t>
            </w:r>
          </w:p>
        </w:tc>
        <w:tc>
          <w:tcPr>
            <w:tcW w:w="1814" w:type="dxa"/>
          </w:tcPr>
          <w:p w14:paraId="0B62F272" w14:textId="77777777" w:rsidR="00EA489E" w:rsidRPr="00DE3274" w:rsidRDefault="00EA489E" w:rsidP="00DE4265">
            <w:r w:rsidRPr="00DE3274">
              <w:t xml:space="preserve"> 0.121</w:t>
            </w:r>
          </w:p>
        </w:tc>
        <w:tc>
          <w:tcPr>
            <w:tcW w:w="1814" w:type="dxa"/>
          </w:tcPr>
          <w:p w14:paraId="6DFBC0AD" w14:textId="77777777" w:rsidR="00EA489E" w:rsidRPr="00DE3274" w:rsidRDefault="00EA489E" w:rsidP="00DE4265">
            <w:r w:rsidRPr="00DE3274">
              <w:t xml:space="preserve"> 0.230*</w:t>
            </w:r>
          </w:p>
        </w:tc>
        <w:tc>
          <w:tcPr>
            <w:tcW w:w="1814" w:type="dxa"/>
          </w:tcPr>
          <w:p w14:paraId="6E1B8EB4" w14:textId="77777777" w:rsidR="00EA489E" w:rsidRPr="00DE3274" w:rsidRDefault="00EA489E" w:rsidP="00DE4265">
            <w:r w:rsidRPr="00DE3274">
              <w:t xml:space="preserve"> 0.014</w:t>
            </w:r>
          </w:p>
        </w:tc>
        <w:tc>
          <w:tcPr>
            <w:tcW w:w="1815" w:type="dxa"/>
          </w:tcPr>
          <w:p w14:paraId="323E71EC" w14:textId="77777777" w:rsidR="00EA489E" w:rsidRPr="00DE3274" w:rsidRDefault="00EA489E" w:rsidP="00DE4265">
            <w:r w:rsidRPr="00DE3274">
              <w:t xml:space="preserve"> 0.179*</w:t>
            </w:r>
          </w:p>
        </w:tc>
        <w:tc>
          <w:tcPr>
            <w:tcW w:w="1814" w:type="dxa"/>
          </w:tcPr>
          <w:p w14:paraId="20A53F2E" w14:textId="77777777" w:rsidR="00EA489E" w:rsidRPr="00DE3274" w:rsidRDefault="00EA489E" w:rsidP="00DE4265">
            <w:r w:rsidRPr="00DE3274">
              <w:t>0.544</w:t>
            </w:r>
          </w:p>
        </w:tc>
      </w:tr>
      <w:tr w:rsidR="00EA489E" w:rsidRPr="00DE3274" w14:paraId="7958E2AF" w14:textId="77777777" w:rsidTr="00DE4265">
        <w:tc>
          <w:tcPr>
            <w:tcW w:w="1555" w:type="dxa"/>
          </w:tcPr>
          <w:p w14:paraId="0017232B" w14:textId="77777777" w:rsidR="00EA489E" w:rsidRPr="00DE3274" w:rsidRDefault="00EA489E" w:rsidP="00DE4265">
            <w:pPr>
              <w:ind w:firstLine="313"/>
            </w:pPr>
          </w:p>
        </w:tc>
        <w:tc>
          <w:tcPr>
            <w:tcW w:w="2405" w:type="dxa"/>
          </w:tcPr>
          <w:p w14:paraId="12ACDBF3" w14:textId="77777777" w:rsidR="00EA489E" w:rsidRPr="00DE3274" w:rsidRDefault="00EA489E" w:rsidP="00DE4265">
            <w:pPr>
              <w:ind w:firstLine="313"/>
            </w:pPr>
            <w:r w:rsidRPr="00DE3274">
              <w:t>Quintile 5</w:t>
            </w:r>
          </w:p>
        </w:tc>
        <w:tc>
          <w:tcPr>
            <w:tcW w:w="1814" w:type="dxa"/>
          </w:tcPr>
          <w:p w14:paraId="0C7EBD04" w14:textId="77777777" w:rsidR="00EA489E" w:rsidRPr="00DE3274" w:rsidRDefault="00EA489E" w:rsidP="00DE4265">
            <w:r w:rsidRPr="00DE3274">
              <w:t xml:space="preserve"> 0.232*</w:t>
            </w:r>
          </w:p>
        </w:tc>
        <w:tc>
          <w:tcPr>
            <w:tcW w:w="1814" w:type="dxa"/>
          </w:tcPr>
          <w:p w14:paraId="75260B60" w14:textId="77777777" w:rsidR="00EA489E" w:rsidRPr="00DE3274" w:rsidRDefault="00EA489E" w:rsidP="00DE4265">
            <w:r w:rsidRPr="00DE3274">
              <w:t xml:space="preserve"> 0.327**</w:t>
            </w:r>
          </w:p>
        </w:tc>
        <w:tc>
          <w:tcPr>
            <w:tcW w:w="1814" w:type="dxa"/>
          </w:tcPr>
          <w:p w14:paraId="4F8F501D" w14:textId="77777777" w:rsidR="00EA489E" w:rsidRPr="00DE3274" w:rsidRDefault="00EA489E" w:rsidP="00DE4265">
            <w:r w:rsidRPr="00DE3274">
              <w:t xml:space="preserve"> 0.058</w:t>
            </w:r>
          </w:p>
        </w:tc>
        <w:tc>
          <w:tcPr>
            <w:tcW w:w="1815" w:type="dxa"/>
          </w:tcPr>
          <w:p w14:paraId="48014213" w14:textId="77777777" w:rsidR="00EA489E" w:rsidRPr="00DE3274" w:rsidRDefault="00EA489E" w:rsidP="00DE4265">
            <w:r w:rsidRPr="00DE3274">
              <w:t xml:space="preserve"> 0.337*** </w:t>
            </w:r>
          </w:p>
        </w:tc>
        <w:tc>
          <w:tcPr>
            <w:tcW w:w="1814" w:type="dxa"/>
          </w:tcPr>
          <w:p w14:paraId="7350AF10" w14:textId="77777777" w:rsidR="00EA489E" w:rsidRPr="00DE3274" w:rsidRDefault="00EA489E" w:rsidP="00DE4265">
            <w:r w:rsidRPr="00DE3274">
              <w:t>0.954**</w:t>
            </w:r>
          </w:p>
        </w:tc>
      </w:tr>
      <w:tr w:rsidR="00EA489E" w:rsidRPr="00DE3274" w14:paraId="497FAD44" w14:textId="77777777" w:rsidTr="00DE4265">
        <w:tc>
          <w:tcPr>
            <w:tcW w:w="1555" w:type="dxa"/>
          </w:tcPr>
          <w:p w14:paraId="61FD46BD" w14:textId="77777777" w:rsidR="00EA489E" w:rsidRPr="00DE3274" w:rsidRDefault="00EA489E" w:rsidP="00DE4265"/>
        </w:tc>
        <w:tc>
          <w:tcPr>
            <w:tcW w:w="2405" w:type="dxa"/>
          </w:tcPr>
          <w:p w14:paraId="4C8FA18B" w14:textId="77777777" w:rsidR="00EA489E" w:rsidRPr="00DE3274" w:rsidRDefault="00EA489E" w:rsidP="00DE4265">
            <w:r w:rsidRPr="00DE3274">
              <w:t>Control variables</w:t>
            </w:r>
          </w:p>
        </w:tc>
        <w:tc>
          <w:tcPr>
            <w:tcW w:w="1814" w:type="dxa"/>
          </w:tcPr>
          <w:p w14:paraId="3D352604" w14:textId="77777777" w:rsidR="00EA489E" w:rsidRPr="00DE3274" w:rsidRDefault="00EA489E" w:rsidP="00DE4265"/>
        </w:tc>
        <w:tc>
          <w:tcPr>
            <w:tcW w:w="1814" w:type="dxa"/>
          </w:tcPr>
          <w:p w14:paraId="3B003D19" w14:textId="77777777" w:rsidR="00EA489E" w:rsidRPr="00DE3274" w:rsidRDefault="00EA489E" w:rsidP="00DE4265"/>
        </w:tc>
        <w:tc>
          <w:tcPr>
            <w:tcW w:w="1814" w:type="dxa"/>
          </w:tcPr>
          <w:p w14:paraId="1334B32A" w14:textId="77777777" w:rsidR="00EA489E" w:rsidRPr="00DE3274" w:rsidRDefault="00EA489E" w:rsidP="00DE4265"/>
        </w:tc>
        <w:tc>
          <w:tcPr>
            <w:tcW w:w="1815" w:type="dxa"/>
          </w:tcPr>
          <w:p w14:paraId="67CA05E2" w14:textId="77777777" w:rsidR="00EA489E" w:rsidRPr="00DE3274" w:rsidRDefault="00EA489E" w:rsidP="00DE4265"/>
        </w:tc>
        <w:tc>
          <w:tcPr>
            <w:tcW w:w="1814" w:type="dxa"/>
          </w:tcPr>
          <w:p w14:paraId="4C508EB6" w14:textId="77777777" w:rsidR="00EA489E" w:rsidRPr="00DE3274" w:rsidRDefault="00EA489E" w:rsidP="00DE4265"/>
        </w:tc>
      </w:tr>
      <w:tr w:rsidR="00EA489E" w:rsidRPr="00DE3274" w14:paraId="0A68C765" w14:textId="77777777" w:rsidTr="00DE4265">
        <w:tc>
          <w:tcPr>
            <w:tcW w:w="1555" w:type="dxa"/>
          </w:tcPr>
          <w:p w14:paraId="4226D8AE" w14:textId="77777777" w:rsidR="00EA489E" w:rsidRPr="00DE3274" w:rsidRDefault="00EA489E" w:rsidP="00DE4265">
            <w:pPr>
              <w:ind w:firstLine="313"/>
            </w:pPr>
          </w:p>
        </w:tc>
        <w:tc>
          <w:tcPr>
            <w:tcW w:w="2405" w:type="dxa"/>
          </w:tcPr>
          <w:p w14:paraId="67534FEB" w14:textId="77777777" w:rsidR="00EA489E" w:rsidRPr="00DE3274" w:rsidRDefault="00EA489E" w:rsidP="00DE4265">
            <w:pPr>
              <w:ind w:firstLine="313"/>
            </w:pPr>
            <w:r w:rsidRPr="00DE3274">
              <w:t>Age</w:t>
            </w:r>
          </w:p>
        </w:tc>
        <w:tc>
          <w:tcPr>
            <w:tcW w:w="1814" w:type="dxa"/>
          </w:tcPr>
          <w:p w14:paraId="022DD9DE" w14:textId="77777777" w:rsidR="00EA489E" w:rsidRPr="00DE3274" w:rsidRDefault="00EA489E" w:rsidP="00DE4265">
            <w:r w:rsidRPr="00DE3274">
              <w:t>-0.004*</w:t>
            </w:r>
          </w:p>
        </w:tc>
        <w:tc>
          <w:tcPr>
            <w:tcW w:w="1814" w:type="dxa"/>
          </w:tcPr>
          <w:p w14:paraId="340BD7EA" w14:textId="77777777" w:rsidR="00EA489E" w:rsidRPr="00DE3274" w:rsidRDefault="00EA489E" w:rsidP="00DE4265">
            <w:r w:rsidRPr="00DE3274">
              <w:t>-0.019***</w:t>
            </w:r>
          </w:p>
        </w:tc>
        <w:tc>
          <w:tcPr>
            <w:tcW w:w="1814" w:type="dxa"/>
          </w:tcPr>
          <w:p w14:paraId="456703AD" w14:textId="77777777" w:rsidR="00EA489E" w:rsidRPr="00DE3274" w:rsidRDefault="00EA489E" w:rsidP="00DE4265">
            <w:r w:rsidRPr="00DE3274">
              <w:t>-0.013***</w:t>
            </w:r>
          </w:p>
        </w:tc>
        <w:tc>
          <w:tcPr>
            <w:tcW w:w="1815" w:type="dxa"/>
          </w:tcPr>
          <w:p w14:paraId="1C04E243" w14:textId="77777777" w:rsidR="00EA489E" w:rsidRPr="00DE3274" w:rsidRDefault="00EA489E" w:rsidP="00DE4265">
            <w:r w:rsidRPr="00DE3274">
              <w:t xml:space="preserve">-0.005** </w:t>
            </w:r>
          </w:p>
        </w:tc>
        <w:tc>
          <w:tcPr>
            <w:tcW w:w="1814" w:type="dxa"/>
          </w:tcPr>
          <w:p w14:paraId="0268D2B9" w14:textId="77777777" w:rsidR="00EA489E" w:rsidRPr="00DE3274" w:rsidRDefault="00EA489E" w:rsidP="00DE4265">
            <w:r w:rsidRPr="00DE3274">
              <w:t>-0.041***</w:t>
            </w:r>
          </w:p>
        </w:tc>
      </w:tr>
      <w:tr w:rsidR="00EA489E" w:rsidRPr="00DE3274" w14:paraId="17001AFF" w14:textId="77777777" w:rsidTr="00DE4265">
        <w:tc>
          <w:tcPr>
            <w:tcW w:w="1555" w:type="dxa"/>
          </w:tcPr>
          <w:p w14:paraId="70B62C68" w14:textId="77777777" w:rsidR="00EA489E" w:rsidRPr="00DE3274" w:rsidRDefault="00EA489E" w:rsidP="00DE4265">
            <w:pPr>
              <w:ind w:firstLine="313"/>
            </w:pPr>
          </w:p>
        </w:tc>
        <w:tc>
          <w:tcPr>
            <w:tcW w:w="2405" w:type="dxa"/>
          </w:tcPr>
          <w:p w14:paraId="17D283E4" w14:textId="77777777" w:rsidR="00EA489E" w:rsidRPr="00DE3274" w:rsidRDefault="00EA489E" w:rsidP="00DE4265">
            <w:pPr>
              <w:ind w:firstLine="313"/>
            </w:pPr>
            <w:r w:rsidRPr="00DE3274">
              <w:t>Gender (Female)</w:t>
            </w:r>
          </w:p>
        </w:tc>
        <w:tc>
          <w:tcPr>
            <w:tcW w:w="1814" w:type="dxa"/>
          </w:tcPr>
          <w:p w14:paraId="021A7E99" w14:textId="77777777" w:rsidR="00EA489E" w:rsidRPr="00DE3274" w:rsidRDefault="00EA489E" w:rsidP="00DE4265">
            <w:r w:rsidRPr="00DE3274">
              <w:t>-0.074</w:t>
            </w:r>
          </w:p>
        </w:tc>
        <w:tc>
          <w:tcPr>
            <w:tcW w:w="1814" w:type="dxa"/>
          </w:tcPr>
          <w:p w14:paraId="4D7772F9" w14:textId="77777777" w:rsidR="00EA489E" w:rsidRPr="00DE3274" w:rsidRDefault="00EA489E" w:rsidP="00DE4265">
            <w:r w:rsidRPr="00DE3274">
              <w:t xml:space="preserve"> 0.021</w:t>
            </w:r>
          </w:p>
        </w:tc>
        <w:tc>
          <w:tcPr>
            <w:tcW w:w="1814" w:type="dxa"/>
          </w:tcPr>
          <w:p w14:paraId="7A82878F" w14:textId="77777777" w:rsidR="00EA489E" w:rsidRPr="00DE3274" w:rsidRDefault="00EA489E" w:rsidP="00DE4265">
            <w:r w:rsidRPr="00DE3274">
              <w:t>-0.305***</w:t>
            </w:r>
          </w:p>
        </w:tc>
        <w:tc>
          <w:tcPr>
            <w:tcW w:w="1815" w:type="dxa"/>
          </w:tcPr>
          <w:p w14:paraId="7C976644" w14:textId="77777777" w:rsidR="00EA489E" w:rsidRPr="00DE3274" w:rsidRDefault="00EA489E" w:rsidP="00DE4265">
            <w:r w:rsidRPr="00DE3274">
              <w:t xml:space="preserve"> 0.123*</w:t>
            </w:r>
          </w:p>
        </w:tc>
        <w:tc>
          <w:tcPr>
            <w:tcW w:w="1814" w:type="dxa"/>
          </w:tcPr>
          <w:p w14:paraId="573B3F81" w14:textId="77777777" w:rsidR="00EA489E" w:rsidRPr="00DE3274" w:rsidRDefault="00EA489E" w:rsidP="00DE4265">
            <w:r w:rsidRPr="00DE3274">
              <w:t>-0.234</w:t>
            </w:r>
          </w:p>
        </w:tc>
      </w:tr>
      <w:tr w:rsidR="00EA489E" w:rsidRPr="00DE3274" w14:paraId="7D051834" w14:textId="77777777" w:rsidTr="00DE4265">
        <w:tc>
          <w:tcPr>
            <w:tcW w:w="1555" w:type="dxa"/>
          </w:tcPr>
          <w:p w14:paraId="7A186806" w14:textId="77777777" w:rsidR="00EA489E" w:rsidRPr="00DE3274" w:rsidRDefault="00EA489E" w:rsidP="00DE4265">
            <w:pPr>
              <w:ind w:firstLine="313"/>
            </w:pPr>
          </w:p>
        </w:tc>
        <w:tc>
          <w:tcPr>
            <w:tcW w:w="2405" w:type="dxa"/>
          </w:tcPr>
          <w:p w14:paraId="155BA1A6" w14:textId="77777777" w:rsidR="00EA489E" w:rsidRPr="00DE3274" w:rsidRDefault="00EA489E" w:rsidP="00DE4265">
            <w:pPr>
              <w:ind w:firstLine="313"/>
            </w:pPr>
            <w:r w:rsidRPr="00DE3274">
              <w:t>Income</w:t>
            </w:r>
          </w:p>
        </w:tc>
        <w:tc>
          <w:tcPr>
            <w:tcW w:w="1814" w:type="dxa"/>
          </w:tcPr>
          <w:p w14:paraId="77550D55" w14:textId="77777777" w:rsidR="00EA489E" w:rsidRPr="00DE3274" w:rsidRDefault="00EA489E" w:rsidP="00DE4265">
            <w:r w:rsidRPr="00DE3274">
              <w:t>-0.065**</w:t>
            </w:r>
          </w:p>
        </w:tc>
        <w:tc>
          <w:tcPr>
            <w:tcW w:w="1814" w:type="dxa"/>
          </w:tcPr>
          <w:p w14:paraId="14ED6048" w14:textId="77777777" w:rsidR="00EA489E" w:rsidRPr="00DE3274" w:rsidRDefault="00EA489E" w:rsidP="00DE4265">
            <w:r w:rsidRPr="00DE3274">
              <w:t>-0.052*</w:t>
            </w:r>
          </w:p>
        </w:tc>
        <w:tc>
          <w:tcPr>
            <w:tcW w:w="1814" w:type="dxa"/>
          </w:tcPr>
          <w:p w14:paraId="71935AEF" w14:textId="77777777" w:rsidR="00EA489E" w:rsidRPr="00DE3274" w:rsidRDefault="00EA489E" w:rsidP="00DE4265">
            <w:r w:rsidRPr="00DE3274">
              <w:t>-0.022</w:t>
            </w:r>
          </w:p>
        </w:tc>
        <w:tc>
          <w:tcPr>
            <w:tcW w:w="1815" w:type="dxa"/>
          </w:tcPr>
          <w:p w14:paraId="3D14662E" w14:textId="77777777" w:rsidR="00EA489E" w:rsidRPr="00DE3274" w:rsidRDefault="00EA489E" w:rsidP="00DE4265">
            <w:r w:rsidRPr="00DE3274">
              <w:t xml:space="preserve">-0.028 </w:t>
            </w:r>
          </w:p>
        </w:tc>
        <w:tc>
          <w:tcPr>
            <w:tcW w:w="1814" w:type="dxa"/>
          </w:tcPr>
          <w:p w14:paraId="52A0C728" w14:textId="77777777" w:rsidR="00EA489E" w:rsidRPr="00DE3274" w:rsidRDefault="00EA489E" w:rsidP="00DE4265">
            <w:r w:rsidRPr="00DE3274">
              <w:t>-0.167*</w:t>
            </w:r>
          </w:p>
        </w:tc>
      </w:tr>
      <w:tr w:rsidR="00EA489E" w:rsidRPr="00DE3274" w14:paraId="01747BA8" w14:textId="77777777" w:rsidTr="00DE4265">
        <w:tc>
          <w:tcPr>
            <w:tcW w:w="1555" w:type="dxa"/>
          </w:tcPr>
          <w:p w14:paraId="477E7874" w14:textId="77777777" w:rsidR="00EA489E" w:rsidRPr="00DE3274" w:rsidRDefault="00EA489E" w:rsidP="00DE4265">
            <w:pPr>
              <w:ind w:firstLine="313"/>
            </w:pPr>
          </w:p>
        </w:tc>
        <w:tc>
          <w:tcPr>
            <w:tcW w:w="2405" w:type="dxa"/>
          </w:tcPr>
          <w:p w14:paraId="59DFD3D4" w14:textId="77777777" w:rsidR="00EA489E" w:rsidRPr="00DE3274" w:rsidRDefault="00EA489E" w:rsidP="00DE4265">
            <w:pPr>
              <w:ind w:firstLine="313"/>
            </w:pPr>
            <w:r w:rsidRPr="00DE3274">
              <w:t>Health Problem</w:t>
            </w:r>
          </w:p>
        </w:tc>
        <w:tc>
          <w:tcPr>
            <w:tcW w:w="1814" w:type="dxa"/>
          </w:tcPr>
          <w:p w14:paraId="7ACE561C" w14:textId="77777777" w:rsidR="00EA489E" w:rsidRPr="00DE3274" w:rsidRDefault="00EA489E" w:rsidP="00DE4265">
            <w:r w:rsidRPr="00DE3274">
              <w:t xml:space="preserve"> 0.262**</w:t>
            </w:r>
          </w:p>
        </w:tc>
        <w:tc>
          <w:tcPr>
            <w:tcW w:w="1814" w:type="dxa"/>
          </w:tcPr>
          <w:p w14:paraId="58CA782A" w14:textId="77777777" w:rsidR="00EA489E" w:rsidRPr="00DE3274" w:rsidRDefault="00EA489E" w:rsidP="00DE4265">
            <w:r w:rsidRPr="00DE3274">
              <w:t xml:space="preserve"> 0.395***</w:t>
            </w:r>
          </w:p>
        </w:tc>
        <w:tc>
          <w:tcPr>
            <w:tcW w:w="1814" w:type="dxa"/>
          </w:tcPr>
          <w:p w14:paraId="6A70D72B" w14:textId="77777777" w:rsidR="00EA489E" w:rsidRPr="00DE3274" w:rsidRDefault="00EA489E" w:rsidP="00DE4265">
            <w:r w:rsidRPr="00DE3274">
              <w:t xml:space="preserve"> 0.360***</w:t>
            </w:r>
          </w:p>
        </w:tc>
        <w:tc>
          <w:tcPr>
            <w:tcW w:w="1815" w:type="dxa"/>
          </w:tcPr>
          <w:p w14:paraId="05FB8CC1" w14:textId="77777777" w:rsidR="00EA489E" w:rsidRPr="00DE3274" w:rsidRDefault="00EA489E" w:rsidP="00DE4265">
            <w:r w:rsidRPr="00DE3274">
              <w:t xml:space="preserve"> 0.238** </w:t>
            </w:r>
          </w:p>
        </w:tc>
        <w:tc>
          <w:tcPr>
            <w:tcW w:w="1814" w:type="dxa"/>
          </w:tcPr>
          <w:p w14:paraId="1E536C75" w14:textId="77777777" w:rsidR="00EA489E" w:rsidRPr="00DE3274" w:rsidRDefault="00EA489E" w:rsidP="00DE4265">
            <w:r w:rsidRPr="00DE3274">
              <w:t>1.255***</w:t>
            </w:r>
          </w:p>
        </w:tc>
      </w:tr>
      <w:tr w:rsidR="00EA489E" w:rsidRPr="00DE3274" w14:paraId="5342E81D" w14:textId="77777777" w:rsidTr="00DE4265">
        <w:tc>
          <w:tcPr>
            <w:tcW w:w="1555" w:type="dxa"/>
          </w:tcPr>
          <w:p w14:paraId="6CB88384" w14:textId="77777777" w:rsidR="00EA489E" w:rsidRPr="00DE3274" w:rsidRDefault="00EA489E" w:rsidP="00DE4265">
            <w:pPr>
              <w:ind w:firstLine="313"/>
            </w:pPr>
          </w:p>
        </w:tc>
        <w:tc>
          <w:tcPr>
            <w:tcW w:w="2405" w:type="dxa"/>
          </w:tcPr>
          <w:p w14:paraId="7D9A5497" w14:textId="77777777" w:rsidR="00EA489E" w:rsidRPr="00DE3274" w:rsidRDefault="00EA489E" w:rsidP="00DE4265">
            <w:pPr>
              <w:ind w:firstLine="313"/>
            </w:pPr>
            <w:r w:rsidRPr="00DE3274">
              <w:t xml:space="preserve">GAD-7 ≥ 10  </w:t>
            </w:r>
          </w:p>
        </w:tc>
        <w:tc>
          <w:tcPr>
            <w:tcW w:w="1814" w:type="dxa"/>
          </w:tcPr>
          <w:p w14:paraId="24AC10FB" w14:textId="77777777" w:rsidR="00EA489E" w:rsidRPr="00DE3274" w:rsidRDefault="00EA489E" w:rsidP="00DE4265">
            <w:r w:rsidRPr="00DE3274">
              <w:t xml:space="preserve"> 0.858***</w:t>
            </w:r>
          </w:p>
        </w:tc>
        <w:tc>
          <w:tcPr>
            <w:tcW w:w="1814" w:type="dxa"/>
          </w:tcPr>
          <w:p w14:paraId="781424DA" w14:textId="77777777" w:rsidR="00EA489E" w:rsidRPr="00DE3274" w:rsidRDefault="00EA489E" w:rsidP="00DE4265">
            <w:r w:rsidRPr="00DE3274">
              <w:t xml:space="preserve"> 1.243***</w:t>
            </w:r>
          </w:p>
        </w:tc>
        <w:tc>
          <w:tcPr>
            <w:tcW w:w="1814" w:type="dxa"/>
          </w:tcPr>
          <w:p w14:paraId="37D6BDD3" w14:textId="77777777" w:rsidR="00EA489E" w:rsidRPr="00DE3274" w:rsidRDefault="00EA489E" w:rsidP="00DE4265">
            <w:r w:rsidRPr="00DE3274">
              <w:t xml:space="preserve"> 1.059***</w:t>
            </w:r>
          </w:p>
        </w:tc>
        <w:tc>
          <w:tcPr>
            <w:tcW w:w="1815" w:type="dxa"/>
          </w:tcPr>
          <w:p w14:paraId="443D2098" w14:textId="77777777" w:rsidR="00EA489E" w:rsidRPr="00DE3274" w:rsidRDefault="00EA489E" w:rsidP="00DE4265">
            <w:r w:rsidRPr="00DE3274">
              <w:t xml:space="preserve"> 0.971*** </w:t>
            </w:r>
          </w:p>
        </w:tc>
        <w:tc>
          <w:tcPr>
            <w:tcW w:w="1814" w:type="dxa"/>
          </w:tcPr>
          <w:p w14:paraId="781831FE" w14:textId="77777777" w:rsidR="00EA489E" w:rsidRPr="00DE3274" w:rsidRDefault="00EA489E" w:rsidP="00DE4265">
            <w:r w:rsidRPr="00DE3274">
              <w:t>4.131***</w:t>
            </w:r>
          </w:p>
        </w:tc>
      </w:tr>
      <w:tr w:rsidR="00EA489E" w:rsidRPr="00DE3274" w14:paraId="49F82271" w14:textId="77777777" w:rsidTr="00DE4265">
        <w:tc>
          <w:tcPr>
            <w:tcW w:w="1555" w:type="dxa"/>
          </w:tcPr>
          <w:p w14:paraId="48CF90B4" w14:textId="77777777" w:rsidR="00EA489E" w:rsidRPr="00DE3274" w:rsidRDefault="00EA489E" w:rsidP="00DE4265">
            <w:pPr>
              <w:ind w:firstLine="313"/>
            </w:pPr>
          </w:p>
        </w:tc>
        <w:tc>
          <w:tcPr>
            <w:tcW w:w="2405" w:type="dxa"/>
          </w:tcPr>
          <w:p w14:paraId="5DEF2002" w14:textId="77777777" w:rsidR="00EA489E" w:rsidRPr="00DE3274" w:rsidRDefault="00EA489E" w:rsidP="00DE4265">
            <w:pPr>
              <w:ind w:firstLine="313"/>
            </w:pPr>
          </w:p>
        </w:tc>
        <w:tc>
          <w:tcPr>
            <w:tcW w:w="1814" w:type="dxa"/>
          </w:tcPr>
          <w:p w14:paraId="39ABC5AB" w14:textId="77777777" w:rsidR="00EA489E" w:rsidRPr="00DE3274" w:rsidRDefault="00EA489E" w:rsidP="00DE4265"/>
        </w:tc>
        <w:tc>
          <w:tcPr>
            <w:tcW w:w="1814" w:type="dxa"/>
          </w:tcPr>
          <w:p w14:paraId="0DCAFBE7" w14:textId="77777777" w:rsidR="00EA489E" w:rsidRPr="00DE3274" w:rsidRDefault="00EA489E" w:rsidP="00DE4265"/>
        </w:tc>
        <w:tc>
          <w:tcPr>
            <w:tcW w:w="1814" w:type="dxa"/>
          </w:tcPr>
          <w:p w14:paraId="3F2E8B09" w14:textId="77777777" w:rsidR="00EA489E" w:rsidRPr="00DE3274" w:rsidRDefault="00EA489E" w:rsidP="00DE4265"/>
        </w:tc>
        <w:tc>
          <w:tcPr>
            <w:tcW w:w="1815" w:type="dxa"/>
          </w:tcPr>
          <w:p w14:paraId="7798A1FF" w14:textId="77777777" w:rsidR="00EA489E" w:rsidRPr="00DE3274" w:rsidRDefault="00EA489E" w:rsidP="00DE4265"/>
        </w:tc>
        <w:tc>
          <w:tcPr>
            <w:tcW w:w="1814" w:type="dxa"/>
          </w:tcPr>
          <w:p w14:paraId="358BA9A6" w14:textId="77777777" w:rsidR="00EA489E" w:rsidRPr="00DE3274" w:rsidRDefault="00EA489E" w:rsidP="00DE4265"/>
        </w:tc>
      </w:tr>
      <w:tr w:rsidR="00EA489E" w:rsidRPr="00DE3274" w14:paraId="2EFCA9F1" w14:textId="77777777" w:rsidTr="00DE4265">
        <w:tc>
          <w:tcPr>
            <w:tcW w:w="1555" w:type="dxa"/>
            <w:tcBorders>
              <w:bottom w:val="single" w:sz="12" w:space="0" w:color="auto"/>
            </w:tcBorders>
          </w:tcPr>
          <w:p w14:paraId="4F4E1A6C" w14:textId="77777777" w:rsidR="00EA489E" w:rsidRPr="00DE3274" w:rsidRDefault="00EA489E" w:rsidP="00DE4265"/>
        </w:tc>
        <w:tc>
          <w:tcPr>
            <w:tcW w:w="2405" w:type="dxa"/>
            <w:tcBorders>
              <w:bottom w:val="single" w:sz="12" w:space="0" w:color="auto"/>
            </w:tcBorders>
          </w:tcPr>
          <w:p w14:paraId="0258851E" w14:textId="77777777" w:rsidR="00EA489E" w:rsidRPr="00DE3274" w:rsidRDefault="00EA489E" w:rsidP="00DE4265">
            <w:r w:rsidRPr="00DE3274">
              <w:t>R-squared</w:t>
            </w:r>
          </w:p>
        </w:tc>
        <w:tc>
          <w:tcPr>
            <w:tcW w:w="1814" w:type="dxa"/>
            <w:tcBorders>
              <w:bottom w:val="single" w:sz="12" w:space="0" w:color="auto"/>
            </w:tcBorders>
          </w:tcPr>
          <w:p w14:paraId="18F7883F" w14:textId="77777777" w:rsidR="00EA489E" w:rsidRPr="00DE3274" w:rsidRDefault="00EA489E" w:rsidP="00DE4265">
            <w:r w:rsidRPr="00DE3274">
              <w:t xml:space="preserve">.103***      </w:t>
            </w:r>
          </w:p>
        </w:tc>
        <w:tc>
          <w:tcPr>
            <w:tcW w:w="1814" w:type="dxa"/>
            <w:tcBorders>
              <w:bottom w:val="single" w:sz="12" w:space="0" w:color="auto"/>
            </w:tcBorders>
          </w:tcPr>
          <w:p w14:paraId="6B32A324" w14:textId="77777777" w:rsidR="00EA489E" w:rsidRPr="00DE3274" w:rsidRDefault="00EA489E" w:rsidP="00DE4265">
            <w:r w:rsidRPr="00DE3274">
              <w:t xml:space="preserve">.172***      </w:t>
            </w:r>
          </w:p>
        </w:tc>
        <w:tc>
          <w:tcPr>
            <w:tcW w:w="1814" w:type="dxa"/>
            <w:tcBorders>
              <w:bottom w:val="single" w:sz="12" w:space="0" w:color="auto"/>
            </w:tcBorders>
          </w:tcPr>
          <w:p w14:paraId="10A98D26" w14:textId="77777777" w:rsidR="00EA489E" w:rsidRPr="00DE3274" w:rsidRDefault="00EA489E" w:rsidP="00DE4265">
            <w:r w:rsidRPr="00DE3274">
              <w:t xml:space="preserve">.152***      </w:t>
            </w:r>
          </w:p>
        </w:tc>
        <w:tc>
          <w:tcPr>
            <w:tcW w:w="1815" w:type="dxa"/>
            <w:tcBorders>
              <w:bottom w:val="single" w:sz="12" w:space="0" w:color="auto"/>
            </w:tcBorders>
          </w:tcPr>
          <w:p w14:paraId="5398A207" w14:textId="77777777" w:rsidR="00EA489E" w:rsidRPr="00DE3274" w:rsidRDefault="00EA489E" w:rsidP="00DE4265">
            <w:r w:rsidRPr="00DE3274">
              <w:t xml:space="preserve">.169***      </w:t>
            </w:r>
          </w:p>
        </w:tc>
        <w:tc>
          <w:tcPr>
            <w:tcW w:w="1814" w:type="dxa"/>
            <w:tcBorders>
              <w:bottom w:val="single" w:sz="12" w:space="0" w:color="auto"/>
            </w:tcBorders>
          </w:tcPr>
          <w:p w14:paraId="218CBB5D" w14:textId="77777777" w:rsidR="00EA489E" w:rsidRPr="00DE3274" w:rsidRDefault="00EA489E" w:rsidP="00DE4265">
            <w:r w:rsidRPr="00DE3274">
              <w:t>.198***</w:t>
            </w:r>
          </w:p>
        </w:tc>
      </w:tr>
    </w:tbl>
    <w:p w14:paraId="2E103D25" w14:textId="4CA78017" w:rsidR="00EA489E" w:rsidRPr="00DE3274" w:rsidRDefault="00EA489E" w:rsidP="00EA489E">
      <w:r w:rsidRPr="00DE3274">
        <w:t xml:space="preserve">Table 2. </w:t>
      </w:r>
      <w:r w:rsidR="00E621AE">
        <w:t xml:space="preserve">Unstandardised </w:t>
      </w:r>
      <w:r w:rsidRPr="00DE3274">
        <w:t>Regression Coefficients from Model</w:t>
      </w:r>
      <w:r w:rsidR="009A6E29">
        <w:t>s</w:t>
      </w:r>
      <w:r w:rsidRPr="00DE3274">
        <w:t xml:space="preserve"> Predicting PHQ-15 Scale and Subscale Scores.</w:t>
      </w:r>
    </w:p>
    <w:p w14:paraId="40068FEE" w14:textId="77777777" w:rsidR="00EA489E" w:rsidRPr="00DE3274" w:rsidRDefault="00EA489E" w:rsidP="00EA489E">
      <w:pPr>
        <w:autoSpaceDE w:val="0"/>
        <w:autoSpaceDN w:val="0"/>
        <w:adjustRightInd w:val="0"/>
        <w:spacing w:line="400" w:lineRule="atLeast"/>
      </w:pPr>
    </w:p>
    <w:p w14:paraId="56CC6EFB" w14:textId="77777777" w:rsidR="00EA489E" w:rsidRPr="00DE3274" w:rsidRDefault="00EA489E" w:rsidP="00EA489E">
      <w:pPr>
        <w:autoSpaceDE w:val="0"/>
        <w:autoSpaceDN w:val="0"/>
        <w:adjustRightInd w:val="0"/>
        <w:spacing w:line="400" w:lineRule="atLeast"/>
      </w:pPr>
    </w:p>
    <w:p w14:paraId="7BCA84FF" w14:textId="77777777" w:rsidR="00EA489E" w:rsidRPr="00DE3274" w:rsidRDefault="00EA489E" w:rsidP="00EA489E">
      <w:pPr>
        <w:autoSpaceDE w:val="0"/>
        <w:autoSpaceDN w:val="0"/>
        <w:adjustRightInd w:val="0"/>
        <w:spacing w:line="400" w:lineRule="atLeast"/>
      </w:pPr>
    </w:p>
    <w:p w14:paraId="235D2778" w14:textId="77777777" w:rsidR="00EA489E" w:rsidRPr="00DE3274" w:rsidRDefault="00EA489E" w:rsidP="00EA489E">
      <w:pPr>
        <w:autoSpaceDE w:val="0"/>
        <w:autoSpaceDN w:val="0"/>
        <w:adjustRightInd w:val="0"/>
        <w:spacing w:line="400" w:lineRule="atLeast"/>
      </w:pPr>
    </w:p>
    <w:p w14:paraId="47BFF1BF" w14:textId="77777777" w:rsidR="00EA489E" w:rsidRPr="00DE3274" w:rsidRDefault="00EA489E" w:rsidP="00EA489E">
      <w:pPr>
        <w:autoSpaceDE w:val="0"/>
        <w:autoSpaceDN w:val="0"/>
        <w:adjustRightInd w:val="0"/>
        <w:spacing w:line="400" w:lineRule="atLeast"/>
      </w:pPr>
    </w:p>
    <w:p w14:paraId="29AA0D58" w14:textId="77777777" w:rsidR="00EA489E" w:rsidRPr="00DE3274" w:rsidRDefault="00EA489E" w:rsidP="00EA489E">
      <w:pPr>
        <w:autoSpaceDE w:val="0"/>
        <w:autoSpaceDN w:val="0"/>
        <w:adjustRightInd w:val="0"/>
        <w:spacing w:line="400" w:lineRule="atLeast"/>
      </w:pPr>
    </w:p>
    <w:p w14:paraId="7BCEC474" w14:textId="77777777" w:rsidR="00EA489E" w:rsidRPr="00DE3274" w:rsidRDefault="00EA489E" w:rsidP="00EA489E">
      <w:pPr>
        <w:autoSpaceDE w:val="0"/>
        <w:autoSpaceDN w:val="0"/>
        <w:adjustRightInd w:val="0"/>
        <w:spacing w:line="400" w:lineRule="atLeast"/>
      </w:pPr>
    </w:p>
    <w:p w14:paraId="46538E07" w14:textId="77777777" w:rsidR="00EA489E" w:rsidRPr="00DE3274" w:rsidRDefault="00EA489E" w:rsidP="00EA489E">
      <w:pPr>
        <w:autoSpaceDE w:val="0"/>
        <w:autoSpaceDN w:val="0"/>
        <w:adjustRightInd w:val="0"/>
        <w:spacing w:line="400" w:lineRule="atLeast"/>
      </w:pPr>
    </w:p>
    <w:p w14:paraId="0E7C6E00" w14:textId="77777777" w:rsidR="00EA489E" w:rsidRPr="00DE3274" w:rsidRDefault="00EA489E" w:rsidP="00EA489E">
      <w:pPr>
        <w:autoSpaceDE w:val="0"/>
        <w:autoSpaceDN w:val="0"/>
        <w:adjustRightInd w:val="0"/>
        <w:spacing w:line="400" w:lineRule="atLeast"/>
      </w:pPr>
    </w:p>
    <w:p w14:paraId="5694A61A" w14:textId="77777777" w:rsidR="00EA489E" w:rsidRPr="00DE3274" w:rsidRDefault="00EA489E" w:rsidP="00EA489E">
      <w:pPr>
        <w:autoSpaceDE w:val="0"/>
        <w:autoSpaceDN w:val="0"/>
        <w:adjustRightInd w:val="0"/>
        <w:spacing w:line="400" w:lineRule="atLeast"/>
      </w:pPr>
    </w:p>
    <w:p w14:paraId="1FB524D0" w14:textId="77777777" w:rsidR="00EA489E" w:rsidRPr="00DE3274" w:rsidRDefault="00EA489E" w:rsidP="00EA489E">
      <w:pPr>
        <w:autoSpaceDE w:val="0"/>
        <w:autoSpaceDN w:val="0"/>
        <w:adjustRightInd w:val="0"/>
        <w:spacing w:line="400" w:lineRule="atLeast"/>
      </w:pPr>
    </w:p>
    <w:p w14:paraId="03521296" w14:textId="77777777" w:rsidR="00EA489E" w:rsidRPr="00DE3274" w:rsidRDefault="00EA489E" w:rsidP="00EA489E">
      <w:pPr>
        <w:autoSpaceDE w:val="0"/>
        <w:autoSpaceDN w:val="0"/>
        <w:adjustRightInd w:val="0"/>
        <w:spacing w:line="400" w:lineRule="atLeast"/>
      </w:pPr>
    </w:p>
    <w:p w14:paraId="7E9FC1DB" w14:textId="77777777" w:rsidR="00EA489E" w:rsidRPr="00DE3274" w:rsidRDefault="00EA489E" w:rsidP="00EA489E">
      <w:pPr>
        <w:autoSpaceDE w:val="0"/>
        <w:autoSpaceDN w:val="0"/>
        <w:adjustRightInd w:val="0"/>
        <w:spacing w:line="400" w:lineRule="atLeast"/>
      </w:pPr>
    </w:p>
    <w:p w14:paraId="51DCE5B2" w14:textId="77777777" w:rsidR="00EA489E" w:rsidRPr="00DE3274" w:rsidRDefault="00EA489E" w:rsidP="00EA489E">
      <w:pPr>
        <w:autoSpaceDE w:val="0"/>
        <w:autoSpaceDN w:val="0"/>
        <w:adjustRightInd w:val="0"/>
        <w:spacing w:line="400" w:lineRule="atLeast"/>
      </w:pPr>
    </w:p>
    <w:p w14:paraId="2264C73D" w14:textId="77777777" w:rsidR="00EA489E" w:rsidRPr="00DE3274" w:rsidRDefault="00EA489E" w:rsidP="00EA489E">
      <w:pPr>
        <w:autoSpaceDE w:val="0"/>
        <w:autoSpaceDN w:val="0"/>
        <w:adjustRightInd w:val="0"/>
        <w:spacing w:line="400" w:lineRule="atLeast"/>
      </w:pPr>
    </w:p>
    <w:p w14:paraId="0F3C4661" w14:textId="77777777" w:rsidR="00EA489E" w:rsidRPr="00DE3274" w:rsidRDefault="00EA489E" w:rsidP="00EA489E">
      <w:pPr>
        <w:autoSpaceDE w:val="0"/>
        <w:autoSpaceDN w:val="0"/>
        <w:adjustRightInd w:val="0"/>
        <w:spacing w:line="400" w:lineRule="atLeast"/>
      </w:pPr>
    </w:p>
    <w:p w14:paraId="1664BB33" w14:textId="77777777" w:rsidR="00EA489E" w:rsidRPr="00DE3274" w:rsidRDefault="00EA489E" w:rsidP="00EA489E">
      <w:pPr>
        <w:autoSpaceDE w:val="0"/>
        <w:autoSpaceDN w:val="0"/>
        <w:adjustRightInd w:val="0"/>
        <w:spacing w:line="400" w:lineRule="atLeast"/>
      </w:pPr>
    </w:p>
    <w:p w14:paraId="316E63B4" w14:textId="77777777" w:rsidR="00EA489E" w:rsidRPr="00DE3274" w:rsidRDefault="00EA489E" w:rsidP="00EA489E">
      <w:pPr>
        <w:autoSpaceDE w:val="0"/>
        <w:autoSpaceDN w:val="0"/>
        <w:adjustRightInd w:val="0"/>
        <w:spacing w:line="400" w:lineRule="atLeast"/>
      </w:pPr>
    </w:p>
    <w:p w14:paraId="72F3B180" w14:textId="77777777" w:rsidR="00EA489E" w:rsidRPr="00DE3274" w:rsidRDefault="00EA489E" w:rsidP="00EA489E">
      <w:pPr>
        <w:autoSpaceDE w:val="0"/>
        <w:autoSpaceDN w:val="0"/>
        <w:adjustRightInd w:val="0"/>
        <w:spacing w:line="400" w:lineRule="atLeast"/>
      </w:pPr>
    </w:p>
    <w:p w14:paraId="6B5532E2" w14:textId="77777777" w:rsidR="0033653D" w:rsidRDefault="0033653D" w:rsidP="00EA489E">
      <w:pPr>
        <w:spacing w:line="360" w:lineRule="auto"/>
      </w:pPr>
    </w:p>
    <w:p w14:paraId="52DA0D80" w14:textId="6D7D30CF" w:rsidR="00671CFE" w:rsidRPr="00DE3274" w:rsidRDefault="00EA489E" w:rsidP="00EA489E">
      <w:pPr>
        <w:spacing w:line="360" w:lineRule="auto"/>
      </w:pPr>
      <w:r w:rsidRPr="00DE3274">
        <w:t>Note: p &lt;. 05*, p &lt; .</w:t>
      </w:r>
      <w:r w:rsidR="009A6E29">
        <w:t>0</w:t>
      </w:r>
      <w:r w:rsidRPr="00DE3274">
        <w:t>1*</w:t>
      </w:r>
      <w:r w:rsidR="00F1641D" w:rsidRPr="00DE3274">
        <w:t>*</w:t>
      </w:r>
      <w:r w:rsidRPr="00DE3274">
        <w:t>, p &lt;. 001*</w:t>
      </w:r>
      <w:r w:rsidR="00F1641D" w:rsidRPr="00DE3274">
        <w:t>**</w:t>
      </w:r>
    </w:p>
    <w:sectPr w:rsidR="00671CFE" w:rsidRPr="00DE3274" w:rsidSect="00637F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35"/>
    <w:rsid w:val="00004812"/>
    <w:rsid w:val="00004FFE"/>
    <w:rsid w:val="00005AFD"/>
    <w:rsid w:val="00010636"/>
    <w:rsid w:val="0001771A"/>
    <w:rsid w:val="00031619"/>
    <w:rsid w:val="00067092"/>
    <w:rsid w:val="00085923"/>
    <w:rsid w:val="000878DA"/>
    <w:rsid w:val="000F3689"/>
    <w:rsid w:val="0012350D"/>
    <w:rsid w:val="00123EC4"/>
    <w:rsid w:val="00127ACE"/>
    <w:rsid w:val="001312A4"/>
    <w:rsid w:val="001355B3"/>
    <w:rsid w:val="00173DE6"/>
    <w:rsid w:val="00175074"/>
    <w:rsid w:val="00177684"/>
    <w:rsid w:val="0019365F"/>
    <w:rsid w:val="001A2A9B"/>
    <w:rsid w:val="0020199D"/>
    <w:rsid w:val="00206D5B"/>
    <w:rsid w:val="00237AEE"/>
    <w:rsid w:val="0026444E"/>
    <w:rsid w:val="00283A28"/>
    <w:rsid w:val="00285A6E"/>
    <w:rsid w:val="002C0448"/>
    <w:rsid w:val="002D1366"/>
    <w:rsid w:val="002E17B9"/>
    <w:rsid w:val="002E4D7C"/>
    <w:rsid w:val="002E592F"/>
    <w:rsid w:val="002E5AE6"/>
    <w:rsid w:val="002F0EDB"/>
    <w:rsid w:val="00310387"/>
    <w:rsid w:val="00320E81"/>
    <w:rsid w:val="0033281F"/>
    <w:rsid w:val="0033653D"/>
    <w:rsid w:val="00340FCE"/>
    <w:rsid w:val="003415B2"/>
    <w:rsid w:val="003602D7"/>
    <w:rsid w:val="003641A3"/>
    <w:rsid w:val="00373FB4"/>
    <w:rsid w:val="0038045F"/>
    <w:rsid w:val="0038327F"/>
    <w:rsid w:val="00390026"/>
    <w:rsid w:val="00397C7E"/>
    <w:rsid w:val="003A1411"/>
    <w:rsid w:val="003A4808"/>
    <w:rsid w:val="003A5B3B"/>
    <w:rsid w:val="003B7675"/>
    <w:rsid w:val="003C67D2"/>
    <w:rsid w:val="00406192"/>
    <w:rsid w:val="00423F71"/>
    <w:rsid w:val="00430C0C"/>
    <w:rsid w:val="00441263"/>
    <w:rsid w:val="004513F2"/>
    <w:rsid w:val="004564CF"/>
    <w:rsid w:val="00491028"/>
    <w:rsid w:val="004948E1"/>
    <w:rsid w:val="004C3C3D"/>
    <w:rsid w:val="004C6511"/>
    <w:rsid w:val="004E1476"/>
    <w:rsid w:val="00506AA1"/>
    <w:rsid w:val="005130D7"/>
    <w:rsid w:val="00516865"/>
    <w:rsid w:val="00560512"/>
    <w:rsid w:val="00594A35"/>
    <w:rsid w:val="005A14CA"/>
    <w:rsid w:val="005A246F"/>
    <w:rsid w:val="005A6FE3"/>
    <w:rsid w:val="005B74ED"/>
    <w:rsid w:val="005C1FEC"/>
    <w:rsid w:val="005C4BF3"/>
    <w:rsid w:val="005C65B3"/>
    <w:rsid w:val="005C7EBC"/>
    <w:rsid w:val="0060461B"/>
    <w:rsid w:val="00621178"/>
    <w:rsid w:val="006318D3"/>
    <w:rsid w:val="00637FE8"/>
    <w:rsid w:val="006442F3"/>
    <w:rsid w:val="00660CAE"/>
    <w:rsid w:val="00671CFE"/>
    <w:rsid w:val="006842EC"/>
    <w:rsid w:val="006870B3"/>
    <w:rsid w:val="006915A1"/>
    <w:rsid w:val="006A6AA7"/>
    <w:rsid w:val="006C5B77"/>
    <w:rsid w:val="006D5231"/>
    <w:rsid w:val="006D5295"/>
    <w:rsid w:val="006D69B0"/>
    <w:rsid w:val="006F68C5"/>
    <w:rsid w:val="00713E9A"/>
    <w:rsid w:val="007156C6"/>
    <w:rsid w:val="00721B10"/>
    <w:rsid w:val="00723345"/>
    <w:rsid w:val="007511B3"/>
    <w:rsid w:val="0075461E"/>
    <w:rsid w:val="00764892"/>
    <w:rsid w:val="00765E5D"/>
    <w:rsid w:val="00766E98"/>
    <w:rsid w:val="007676D9"/>
    <w:rsid w:val="007715FF"/>
    <w:rsid w:val="00777104"/>
    <w:rsid w:val="007B0A75"/>
    <w:rsid w:val="007C1DCB"/>
    <w:rsid w:val="007C6EBE"/>
    <w:rsid w:val="007E4566"/>
    <w:rsid w:val="007E608F"/>
    <w:rsid w:val="00810AFB"/>
    <w:rsid w:val="00827213"/>
    <w:rsid w:val="008318D7"/>
    <w:rsid w:val="00831FDA"/>
    <w:rsid w:val="00853E45"/>
    <w:rsid w:val="00866A74"/>
    <w:rsid w:val="00872B95"/>
    <w:rsid w:val="008747E3"/>
    <w:rsid w:val="008A6BCA"/>
    <w:rsid w:val="008C01E6"/>
    <w:rsid w:val="008D10D6"/>
    <w:rsid w:val="008E059C"/>
    <w:rsid w:val="009024E4"/>
    <w:rsid w:val="0091476A"/>
    <w:rsid w:val="0092015F"/>
    <w:rsid w:val="0092287E"/>
    <w:rsid w:val="00940ED4"/>
    <w:rsid w:val="00943C23"/>
    <w:rsid w:val="0095773B"/>
    <w:rsid w:val="00973589"/>
    <w:rsid w:val="00977CD3"/>
    <w:rsid w:val="009A6E29"/>
    <w:rsid w:val="009A7BEB"/>
    <w:rsid w:val="009C3656"/>
    <w:rsid w:val="009C486D"/>
    <w:rsid w:val="009D34DA"/>
    <w:rsid w:val="00A00E03"/>
    <w:rsid w:val="00A04822"/>
    <w:rsid w:val="00A21475"/>
    <w:rsid w:val="00A30F51"/>
    <w:rsid w:val="00A32283"/>
    <w:rsid w:val="00A35B8C"/>
    <w:rsid w:val="00A5133F"/>
    <w:rsid w:val="00A77476"/>
    <w:rsid w:val="00A8395F"/>
    <w:rsid w:val="00AB6238"/>
    <w:rsid w:val="00AB754A"/>
    <w:rsid w:val="00AC4F7C"/>
    <w:rsid w:val="00AD1449"/>
    <w:rsid w:val="00AE07F0"/>
    <w:rsid w:val="00AF5D2E"/>
    <w:rsid w:val="00B06A10"/>
    <w:rsid w:val="00B10C20"/>
    <w:rsid w:val="00B13A82"/>
    <w:rsid w:val="00B21391"/>
    <w:rsid w:val="00B727C7"/>
    <w:rsid w:val="00BB3270"/>
    <w:rsid w:val="00BC050E"/>
    <w:rsid w:val="00BC0EBF"/>
    <w:rsid w:val="00BD102A"/>
    <w:rsid w:val="00BD14AF"/>
    <w:rsid w:val="00BD1F30"/>
    <w:rsid w:val="00BD51D0"/>
    <w:rsid w:val="00C0676E"/>
    <w:rsid w:val="00C12A15"/>
    <w:rsid w:val="00C13DDC"/>
    <w:rsid w:val="00C202D0"/>
    <w:rsid w:val="00C24810"/>
    <w:rsid w:val="00C50472"/>
    <w:rsid w:val="00C53A70"/>
    <w:rsid w:val="00C87A28"/>
    <w:rsid w:val="00C96BD0"/>
    <w:rsid w:val="00CA54D6"/>
    <w:rsid w:val="00CA5FD5"/>
    <w:rsid w:val="00CB012A"/>
    <w:rsid w:val="00CC5EC8"/>
    <w:rsid w:val="00CD7B5A"/>
    <w:rsid w:val="00D01BCB"/>
    <w:rsid w:val="00D037F0"/>
    <w:rsid w:val="00D16667"/>
    <w:rsid w:val="00D20C58"/>
    <w:rsid w:val="00D436CB"/>
    <w:rsid w:val="00D71B99"/>
    <w:rsid w:val="00D7562C"/>
    <w:rsid w:val="00D767FB"/>
    <w:rsid w:val="00D90362"/>
    <w:rsid w:val="00D9672D"/>
    <w:rsid w:val="00DB27B9"/>
    <w:rsid w:val="00DE2E5D"/>
    <w:rsid w:val="00DE3274"/>
    <w:rsid w:val="00DE4265"/>
    <w:rsid w:val="00DE7692"/>
    <w:rsid w:val="00E00017"/>
    <w:rsid w:val="00E05A2F"/>
    <w:rsid w:val="00E23541"/>
    <w:rsid w:val="00E37452"/>
    <w:rsid w:val="00E566CF"/>
    <w:rsid w:val="00E6206F"/>
    <w:rsid w:val="00E621AE"/>
    <w:rsid w:val="00E83FED"/>
    <w:rsid w:val="00E962E0"/>
    <w:rsid w:val="00EA0A2B"/>
    <w:rsid w:val="00EA19F7"/>
    <w:rsid w:val="00EA489E"/>
    <w:rsid w:val="00EA51CD"/>
    <w:rsid w:val="00EB7B61"/>
    <w:rsid w:val="00ED3221"/>
    <w:rsid w:val="00EE51CD"/>
    <w:rsid w:val="00F024DC"/>
    <w:rsid w:val="00F0477D"/>
    <w:rsid w:val="00F06621"/>
    <w:rsid w:val="00F1641D"/>
    <w:rsid w:val="00F34ED2"/>
    <w:rsid w:val="00F6113B"/>
    <w:rsid w:val="00F660C4"/>
    <w:rsid w:val="00F932AC"/>
    <w:rsid w:val="00FD0986"/>
    <w:rsid w:val="00FE22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4328"/>
  <w15:chartTrackingRefBased/>
  <w15:docId w15:val="{4E0A0882-2F04-4698-9332-7EB8BB98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65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A6BC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A35"/>
    <w:pPr>
      <w:spacing w:before="100" w:beforeAutospacing="1" w:after="100" w:afterAutospacing="1"/>
    </w:pPr>
    <w:rPr>
      <w:lang w:eastAsia="en-GB"/>
    </w:rPr>
  </w:style>
  <w:style w:type="character" w:customStyle="1" w:styleId="apple-tab-span">
    <w:name w:val="apple-tab-span"/>
    <w:basedOn w:val="DefaultParagraphFont"/>
    <w:rsid w:val="00594A35"/>
  </w:style>
  <w:style w:type="character" w:styleId="Hyperlink">
    <w:name w:val="Hyperlink"/>
    <w:basedOn w:val="DefaultParagraphFont"/>
    <w:uiPriority w:val="99"/>
    <w:unhideWhenUsed/>
    <w:rsid w:val="00594A35"/>
    <w:rPr>
      <w:color w:val="0000FF"/>
      <w:u w:val="single"/>
    </w:rPr>
  </w:style>
  <w:style w:type="table" w:styleId="TableGridLight">
    <w:name w:val="Grid Table Light"/>
    <w:basedOn w:val="TableNormal"/>
    <w:uiPriority w:val="40"/>
    <w:rsid w:val="00CB01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
    <w:name w:val="EndNote Bibliography"/>
    <w:basedOn w:val="Normal"/>
    <w:link w:val="EndNoteBibliographyChar"/>
    <w:rsid w:val="0038327F"/>
    <w:pPr>
      <w:spacing w:line="480" w:lineRule="auto"/>
    </w:pPr>
    <w:rPr>
      <w:lang w:val="en-US"/>
    </w:rPr>
  </w:style>
  <w:style w:type="character" w:customStyle="1" w:styleId="EndNoteBibliographyChar">
    <w:name w:val="EndNote Bibliography Char"/>
    <w:basedOn w:val="DefaultParagraphFont"/>
    <w:link w:val="EndNoteBibliography"/>
    <w:rsid w:val="0038327F"/>
    <w:rPr>
      <w:rFonts w:ascii="Times New Roman" w:hAnsi="Times New Roman" w:cs="Times New Roman"/>
      <w:sz w:val="24"/>
      <w:lang w:val="en-US"/>
    </w:rPr>
  </w:style>
  <w:style w:type="paragraph" w:customStyle="1" w:styleId="Default">
    <w:name w:val="Default"/>
    <w:rsid w:val="00AB623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1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DDC"/>
    <w:rPr>
      <w:rFonts w:ascii="Segoe UI" w:hAnsi="Segoe UI" w:cs="Segoe UI"/>
      <w:sz w:val="18"/>
      <w:szCs w:val="18"/>
    </w:rPr>
  </w:style>
  <w:style w:type="character" w:styleId="CommentReference">
    <w:name w:val="annotation reference"/>
    <w:basedOn w:val="DefaultParagraphFont"/>
    <w:uiPriority w:val="99"/>
    <w:semiHidden/>
    <w:unhideWhenUsed/>
    <w:rsid w:val="006D5295"/>
    <w:rPr>
      <w:sz w:val="16"/>
      <w:szCs w:val="16"/>
    </w:rPr>
  </w:style>
  <w:style w:type="paragraph" w:styleId="CommentText">
    <w:name w:val="annotation text"/>
    <w:basedOn w:val="Normal"/>
    <w:link w:val="CommentTextChar"/>
    <w:uiPriority w:val="99"/>
    <w:unhideWhenUsed/>
    <w:rsid w:val="006D5295"/>
    <w:rPr>
      <w:sz w:val="20"/>
      <w:szCs w:val="20"/>
    </w:rPr>
  </w:style>
  <w:style w:type="character" w:customStyle="1" w:styleId="CommentTextChar">
    <w:name w:val="Comment Text Char"/>
    <w:basedOn w:val="DefaultParagraphFont"/>
    <w:link w:val="CommentText"/>
    <w:uiPriority w:val="99"/>
    <w:rsid w:val="006D5295"/>
    <w:rPr>
      <w:sz w:val="20"/>
      <w:szCs w:val="20"/>
    </w:rPr>
  </w:style>
  <w:style w:type="paragraph" w:styleId="CommentSubject">
    <w:name w:val="annotation subject"/>
    <w:basedOn w:val="CommentText"/>
    <w:next w:val="CommentText"/>
    <w:link w:val="CommentSubjectChar"/>
    <w:uiPriority w:val="99"/>
    <w:semiHidden/>
    <w:unhideWhenUsed/>
    <w:rsid w:val="006D5295"/>
    <w:rPr>
      <w:b/>
      <w:bCs/>
    </w:rPr>
  </w:style>
  <w:style w:type="character" w:customStyle="1" w:styleId="CommentSubjectChar">
    <w:name w:val="Comment Subject Char"/>
    <w:basedOn w:val="CommentTextChar"/>
    <w:link w:val="CommentSubject"/>
    <w:uiPriority w:val="99"/>
    <w:semiHidden/>
    <w:rsid w:val="006D5295"/>
    <w:rPr>
      <w:b/>
      <w:bCs/>
      <w:sz w:val="20"/>
      <w:szCs w:val="20"/>
    </w:rPr>
  </w:style>
  <w:style w:type="character" w:styleId="Emphasis">
    <w:name w:val="Emphasis"/>
    <w:basedOn w:val="DefaultParagraphFont"/>
    <w:uiPriority w:val="20"/>
    <w:qFormat/>
    <w:rsid w:val="00423F71"/>
    <w:rPr>
      <w:i/>
      <w:iCs/>
    </w:rPr>
  </w:style>
  <w:style w:type="character" w:customStyle="1" w:styleId="Heading1Char">
    <w:name w:val="Heading 1 Char"/>
    <w:basedOn w:val="DefaultParagraphFont"/>
    <w:link w:val="Heading1"/>
    <w:uiPriority w:val="9"/>
    <w:rsid w:val="008A6BCA"/>
    <w:rPr>
      <w:rFonts w:ascii="Times New Roman" w:eastAsia="Times New Roman" w:hAnsi="Times New Roman" w:cs="Times New Roman"/>
      <w:b/>
      <w:bCs/>
      <w:kern w:val="36"/>
      <w:sz w:val="48"/>
      <w:szCs w:val="48"/>
    </w:rPr>
  </w:style>
  <w:style w:type="character" w:customStyle="1" w:styleId="element-citation">
    <w:name w:val="element-citation"/>
    <w:basedOn w:val="DefaultParagraphFont"/>
    <w:rsid w:val="00BC050E"/>
  </w:style>
  <w:style w:type="character" w:customStyle="1" w:styleId="ref-journal">
    <w:name w:val="ref-journal"/>
    <w:basedOn w:val="DefaultParagraphFont"/>
    <w:rsid w:val="00BC050E"/>
  </w:style>
  <w:style w:type="character" w:customStyle="1" w:styleId="ref-vol">
    <w:name w:val="ref-vol"/>
    <w:basedOn w:val="DefaultParagraphFont"/>
    <w:rsid w:val="00BC050E"/>
  </w:style>
  <w:style w:type="character" w:customStyle="1" w:styleId="nowrap">
    <w:name w:val="nowrap"/>
    <w:basedOn w:val="DefaultParagraphFont"/>
    <w:rsid w:val="00BC050E"/>
  </w:style>
  <w:style w:type="character" w:styleId="Strong">
    <w:name w:val="Strong"/>
    <w:basedOn w:val="DefaultParagraphFont"/>
    <w:uiPriority w:val="22"/>
    <w:qFormat/>
    <w:rsid w:val="00BC050E"/>
    <w:rPr>
      <w:b/>
      <w:bCs/>
    </w:rPr>
  </w:style>
  <w:style w:type="character" w:customStyle="1" w:styleId="go">
    <w:name w:val="go"/>
    <w:basedOn w:val="DefaultParagraphFont"/>
    <w:rsid w:val="0051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9090">
      <w:bodyDiv w:val="1"/>
      <w:marLeft w:val="0"/>
      <w:marRight w:val="0"/>
      <w:marTop w:val="0"/>
      <w:marBottom w:val="0"/>
      <w:divBdr>
        <w:top w:val="none" w:sz="0" w:space="0" w:color="auto"/>
        <w:left w:val="none" w:sz="0" w:space="0" w:color="auto"/>
        <w:bottom w:val="none" w:sz="0" w:space="0" w:color="auto"/>
        <w:right w:val="none" w:sz="0" w:space="0" w:color="auto"/>
      </w:divBdr>
    </w:div>
    <w:div w:id="289669124">
      <w:bodyDiv w:val="1"/>
      <w:marLeft w:val="0"/>
      <w:marRight w:val="0"/>
      <w:marTop w:val="0"/>
      <w:marBottom w:val="0"/>
      <w:divBdr>
        <w:top w:val="none" w:sz="0" w:space="0" w:color="auto"/>
        <w:left w:val="none" w:sz="0" w:space="0" w:color="auto"/>
        <w:bottom w:val="none" w:sz="0" w:space="0" w:color="auto"/>
        <w:right w:val="none" w:sz="0" w:space="0" w:color="auto"/>
      </w:divBdr>
    </w:div>
    <w:div w:id="459493569">
      <w:bodyDiv w:val="1"/>
      <w:marLeft w:val="0"/>
      <w:marRight w:val="0"/>
      <w:marTop w:val="0"/>
      <w:marBottom w:val="0"/>
      <w:divBdr>
        <w:top w:val="none" w:sz="0" w:space="0" w:color="auto"/>
        <w:left w:val="none" w:sz="0" w:space="0" w:color="auto"/>
        <w:bottom w:val="none" w:sz="0" w:space="0" w:color="auto"/>
        <w:right w:val="none" w:sz="0" w:space="0" w:color="auto"/>
      </w:divBdr>
      <w:divsChild>
        <w:div w:id="140269599">
          <w:marLeft w:val="0"/>
          <w:marRight w:val="0"/>
          <w:marTop w:val="0"/>
          <w:marBottom w:val="0"/>
          <w:divBdr>
            <w:top w:val="none" w:sz="0" w:space="0" w:color="auto"/>
            <w:left w:val="none" w:sz="0" w:space="0" w:color="auto"/>
            <w:bottom w:val="none" w:sz="0" w:space="0" w:color="auto"/>
            <w:right w:val="none" w:sz="0" w:space="0" w:color="auto"/>
          </w:divBdr>
        </w:div>
        <w:div w:id="811026088">
          <w:marLeft w:val="0"/>
          <w:marRight w:val="0"/>
          <w:marTop w:val="0"/>
          <w:marBottom w:val="0"/>
          <w:divBdr>
            <w:top w:val="none" w:sz="0" w:space="0" w:color="auto"/>
            <w:left w:val="none" w:sz="0" w:space="0" w:color="auto"/>
            <w:bottom w:val="none" w:sz="0" w:space="0" w:color="auto"/>
            <w:right w:val="none" w:sz="0" w:space="0" w:color="auto"/>
          </w:divBdr>
        </w:div>
        <w:div w:id="903951775">
          <w:marLeft w:val="0"/>
          <w:marRight w:val="0"/>
          <w:marTop w:val="0"/>
          <w:marBottom w:val="0"/>
          <w:divBdr>
            <w:top w:val="none" w:sz="0" w:space="0" w:color="auto"/>
            <w:left w:val="none" w:sz="0" w:space="0" w:color="auto"/>
            <w:bottom w:val="none" w:sz="0" w:space="0" w:color="auto"/>
            <w:right w:val="none" w:sz="0" w:space="0" w:color="auto"/>
          </w:divBdr>
        </w:div>
      </w:divsChild>
    </w:div>
    <w:div w:id="514613283">
      <w:bodyDiv w:val="1"/>
      <w:marLeft w:val="0"/>
      <w:marRight w:val="0"/>
      <w:marTop w:val="0"/>
      <w:marBottom w:val="0"/>
      <w:divBdr>
        <w:top w:val="none" w:sz="0" w:space="0" w:color="auto"/>
        <w:left w:val="none" w:sz="0" w:space="0" w:color="auto"/>
        <w:bottom w:val="none" w:sz="0" w:space="0" w:color="auto"/>
        <w:right w:val="none" w:sz="0" w:space="0" w:color="auto"/>
      </w:divBdr>
    </w:div>
    <w:div w:id="834683847">
      <w:bodyDiv w:val="1"/>
      <w:marLeft w:val="0"/>
      <w:marRight w:val="0"/>
      <w:marTop w:val="0"/>
      <w:marBottom w:val="0"/>
      <w:divBdr>
        <w:top w:val="none" w:sz="0" w:space="0" w:color="auto"/>
        <w:left w:val="none" w:sz="0" w:space="0" w:color="auto"/>
        <w:bottom w:val="none" w:sz="0" w:space="0" w:color="auto"/>
        <w:right w:val="none" w:sz="0" w:space="0" w:color="auto"/>
      </w:divBdr>
    </w:div>
    <w:div w:id="866406635">
      <w:bodyDiv w:val="1"/>
      <w:marLeft w:val="0"/>
      <w:marRight w:val="0"/>
      <w:marTop w:val="0"/>
      <w:marBottom w:val="0"/>
      <w:divBdr>
        <w:top w:val="none" w:sz="0" w:space="0" w:color="auto"/>
        <w:left w:val="none" w:sz="0" w:space="0" w:color="auto"/>
        <w:bottom w:val="none" w:sz="0" w:space="0" w:color="auto"/>
        <w:right w:val="none" w:sz="0" w:space="0" w:color="auto"/>
      </w:divBdr>
    </w:div>
    <w:div w:id="1442804394">
      <w:bodyDiv w:val="1"/>
      <w:marLeft w:val="0"/>
      <w:marRight w:val="0"/>
      <w:marTop w:val="0"/>
      <w:marBottom w:val="0"/>
      <w:divBdr>
        <w:top w:val="none" w:sz="0" w:space="0" w:color="auto"/>
        <w:left w:val="none" w:sz="0" w:space="0" w:color="auto"/>
        <w:bottom w:val="none" w:sz="0" w:space="0" w:color="auto"/>
        <w:right w:val="none" w:sz="0" w:space="0" w:color="auto"/>
      </w:divBdr>
    </w:div>
    <w:div w:id="1505433322">
      <w:bodyDiv w:val="1"/>
      <w:marLeft w:val="0"/>
      <w:marRight w:val="0"/>
      <w:marTop w:val="0"/>
      <w:marBottom w:val="0"/>
      <w:divBdr>
        <w:top w:val="none" w:sz="0" w:space="0" w:color="auto"/>
        <w:left w:val="none" w:sz="0" w:space="0" w:color="auto"/>
        <w:bottom w:val="none" w:sz="0" w:space="0" w:color="auto"/>
        <w:right w:val="none" w:sz="0" w:space="0" w:color="auto"/>
      </w:divBdr>
      <w:divsChild>
        <w:div w:id="100951146">
          <w:marLeft w:val="0"/>
          <w:marRight w:val="0"/>
          <w:marTop w:val="0"/>
          <w:marBottom w:val="0"/>
          <w:divBdr>
            <w:top w:val="none" w:sz="0" w:space="0" w:color="auto"/>
            <w:left w:val="none" w:sz="0" w:space="0" w:color="auto"/>
            <w:bottom w:val="none" w:sz="0" w:space="0" w:color="auto"/>
            <w:right w:val="none" w:sz="0" w:space="0" w:color="auto"/>
          </w:divBdr>
        </w:div>
      </w:divsChild>
    </w:div>
    <w:div w:id="1521965736">
      <w:bodyDiv w:val="1"/>
      <w:marLeft w:val="0"/>
      <w:marRight w:val="0"/>
      <w:marTop w:val="0"/>
      <w:marBottom w:val="0"/>
      <w:divBdr>
        <w:top w:val="none" w:sz="0" w:space="0" w:color="auto"/>
        <w:left w:val="none" w:sz="0" w:space="0" w:color="auto"/>
        <w:bottom w:val="none" w:sz="0" w:space="0" w:color="auto"/>
        <w:right w:val="none" w:sz="0" w:space="0" w:color="auto"/>
      </w:divBdr>
      <w:divsChild>
        <w:div w:id="1993212762">
          <w:marLeft w:val="0"/>
          <w:marRight w:val="0"/>
          <w:marTop w:val="0"/>
          <w:marBottom w:val="0"/>
          <w:divBdr>
            <w:top w:val="none" w:sz="0" w:space="0" w:color="auto"/>
            <w:left w:val="none" w:sz="0" w:space="0" w:color="auto"/>
            <w:bottom w:val="none" w:sz="0" w:space="0" w:color="auto"/>
            <w:right w:val="none" w:sz="0" w:space="0" w:color="auto"/>
          </w:divBdr>
        </w:div>
        <w:div w:id="786779070">
          <w:marLeft w:val="0"/>
          <w:marRight w:val="0"/>
          <w:marTop w:val="0"/>
          <w:marBottom w:val="0"/>
          <w:divBdr>
            <w:top w:val="none" w:sz="0" w:space="0" w:color="auto"/>
            <w:left w:val="none" w:sz="0" w:space="0" w:color="auto"/>
            <w:bottom w:val="none" w:sz="0" w:space="0" w:color="auto"/>
            <w:right w:val="none" w:sz="0" w:space="0" w:color="auto"/>
          </w:divBdr>
        </w:div>
        <w:div w:id="1173572165">
          <w:marLeft w:val="0"/>
          <w:marRight w:val="0"/>
          <w:marTop w:val="0"/>
          <w:marBottom w:val="0"/>
          <w:divBdr>
            <w:top w:val="none" w:sz="0" w:space="0" w:color="auto"/>
            <w:left w:val="none" w:sz="0" w:space="0" w:color="auto"/>
            <w:bottom w:val="none" w:sz="0" w:space="0" w:color="auto"/>
            <w:right w:val="none" w:sz="0" w:space="0" w:color="auto"/>
          </w:divBdr>
        </w:div>
        <w:div w:id="1327708406">
          <w:marLeft w:val="0"/>
          <w:marRight w:val="0"/>
          <w:marTop w:val="0"/>
          <w:marBottom w:val="0"/>
          <w:divBdr>
            <w:top w:val="none" w:sz="0" w:space="0" w:color="auto"/>
            <w:left w:val="none" w:sz="0" w:space="0" w:color="auto"/>
            <w:bottom w:val="none" w:sz="0" w:space="0" w:color="auto"/>
            <w:right w:val="none" w:sz="0" w:space="0" w:color="auto"/>
          </w:divBdr>
        </w:div>
      </w:divsChild>
    </w:div>
    <w:div w:id="1660305994">
      <w:bodyDiv w:val="1"/>
      <w:marLeft w:val="0"/>
      <w:marRight w:val="0"/>
      <w:marTop w:val="0"/>
      <w:marBottom w:val="0"/>
      <w:divBdr>
        <w:top w:val="none" w:sz="0" w:space="0" w:color="auto"/>
        <w:left w:val="none" w:sz="0" w:space="0" w:color="auto"/>
        <w:bottom w:val="none" w:sz="0" w:space="0" w:color="auto"/>
        <w:right w:val="none" w:sz="0" w:space="0" w:color="auto"/>
      </w:divBdr>
      <w:divsChild>
        <w:div w:id="2095658898">
          <w:marLeft w:val="0"/>
          <w:marRight w:val="0"/>
          <w:marTop w:val="0"/>
          <w:marBottom w:val="0"/>
          <w:divBdr>
            <w:top w:val="none" w:sz="0" w:space="0" w:color="auto"/>
            <w:left w:val="none" w:sz="0" w:space="0" w:color="auto"/>
            <w:bottom w:val="none" w:sz="0" w:space="0" w:color="auto"/>
            <w:right w:val="none" w:sz="0" w:space="0" w:color="auto"/>
          </w:divBdr>
        </w:div>
        <w:div w:id="31881531">
          <w:marLeft w:val="0"/>
          <w:marRight w:val="0"/>
          <w:marTop w:val="0"/>
          <w:marBottom w:val="0"/>
          <w:divBdr>
            <w:top w:val="none" w:sz="0" w:space="0" w:color="auto"/>
            <w:left w:val="none" w:sz="0" w:space="0" w:color="auto"/>
            <w:bottom w:val="none" w:sz="0" w:space="0" w:color="auto"/>
            <w:right w:val="none" w:sz="0" w:space="0" w:color="auto"/>
          </w:divBdr>
        </w:div>
        <w:div w:id="136188405">
          <w:marLeft w:val="0"/>
          <w:marRight w:val="0"/>
          <w:marTop w:val="0"/>
          <w:marBottom w:val="0"/>
          <w:divBdr>
            <w:top w:val="none" w:sz="0" w:space="0" w:color="auto"/>
            <w:left w:val="none" w:sz="0" w:space="0" w:color="auto"/>
            <w:bottom w:val="none" w:sz="0" w:space="0" w:color="auto"/>
            <w:right w:val="none" w:sz="0" w:space="0" w:color="auto"/>
          </w:divBdr>
        </w:div>
      </w:divsChild>
    </w:div>
    <w:div w:id="1703700394">
      <w:bodyDiv w:val="1"/>
      <w:marLeft w:val="0"/>
      <w:marRight w:val="0"/>
      <w:marTop w:val="0"/>
      <w:marBottom w:val="0"/>
      <w:divBdr>
        <w:top w:val="none" w:sz="0" w:space="0" w:color="auto"/>
        <w:left w:val="none" w:sz="0" w:space="0" w:color="auto"/>
        <w:bottom w:val="none" w:sz="0" w:space="0" w:color="auto"/>
        <w:right w:val="none" w:sz="0" w:space="0" w:color="auto"/>
      </w:divBdr>
      <w:divsChild>
        <w:div w:id="848834790">
          <w:marLeft w:val="0"/>
          <w:marRight w:val="0"/>
          <w:marTop w:val="0"/>
          <w:marBottom w:val="0"/>
          <w:divBdr>
            <w:top w:val="none" w:sz="0" w:space="0" w:color="auto"/>
            <w:left w:val="none" w:sz="0" w:space="0" w:color="auto"/>
            <w:bottom w:val="none" w:sz="0" w:space="0" w:color="auto"/>
            <w:right w:val="none" w:sz="0" w:space="0" w:color="auto"/>
          </w:divBdr>
        </w:div>
        <w:div w:id="62728033">
          <w:marLeft w:val="0"/>
          <w:marRight w:val="0"/>
          <w:marTop w:val="0"/>
          <w:marBottom w:val="0"/>
          <w:divBdr>
            <w:top w:val="none" w:sz="0" w:space="0" w:color="auto"/>
            <w:left w:val="none" w:sz="0" w:space="0" w:color="auto"/>
            <w:bottom w:val="none" w:sz="0" w:space="0" w:color="auto"/>
            <w:right w:val="none" w:sz="0" w:space="0" w:color="auto"/>
          </w:divBdr>
        </w:div>
        <w:div w:id="1419980626">
          <w:marLeft w:val="0"/>
          <w:marRight w:val="0"/>
          <w:marTop w:val="0"/>
          <w:marBottom w:val="0"/>
          <w:divBdr>
            <w:top w:val="none" w:sz="0" w:space="0" w:color="auto"/>
            <w:left w:val="none" w:sz="0" w:space="0" w:color="auto"/>
            <w:bottom w:val="none" w:sz="0" w:space="0" w:color="auto"/>
            <w:right w:val="none" w:sz="0" w:space="0" w:color="auto"/>
          </w:divBdr>
        </w:div>
      </w:divsChild>
    </w:div>
    <w:div w:id="2109885754">
      <w:bodyDiv w:val="1"/>
      <w:marLeft w:val="0"/>
      <w:marRight w:val="0"/>
      <w:marTop w:val="0"/>
      <w:marBottom w:val="0"/>
      <w:divBdr>
        <w:top w:val="none" w:sz="0" w:space="0" w:color="auto"/>
        <w:left w:val="none" w:sz="0" w:space="0" w:color="auto"/>
        <w:bottom w:val="none" w:sz="0" w:space="0" w:color="auto"/>
        <w:right w:val="none" w:sz="0" w:space="0" w:color="auto"/>
      </w:divBdr>
      <w:divsChild>
        <w:div w:id="1155150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Nolan</dc:creator>
  <cp:keywords/>
  <dc:description/>
  <cp:lastModifiedBy>Brian Gerrard</cp:lastModifiedBy>
  <cp:revision>2</cp:revision>
  <dcterms:created xsi:type="dcterms:W3CDTF">2020-09-22T18:12:00Z</dcterms:created>
  <dcterms:modified xsi:type="dcterms:W3CDTF">2020-09-22T18:12:00Z</dcterms:modified>
</cp:coreProperties>
</file>